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23806" w14:textId="02DBC0FE" w:rsidR="00AB5F51" w:rsidRPr="00334558" w:rsidRDefault="0002234C" w:rsidP="00334558">
      <w:pPr>
        <w:pStyle w:val="Title"/>
        <w:jc w:val="center"/>
        <w:rPr>
          <w:rFonts w:ascii="微软雅黑" w:eastAsia="微软雅黑" w:hAnsi="微软雅黑"/>
          <w:b/>
          <w:bCs/>
          <w:sz w:val="32"/>
          <w:szCs w:val="32"/>
        </w:rPr>
      </w:pPr>
      <w:r w:rsidRPr="00334558">
        <w:rPr>
          <w:rFonts w:ascii="微软雅黑" w:eastAsia="微软雅黑" w:hAnsi="微软雅黑" w:hint="eastAsia"/>
          <w:b/>
          <w:bCs/>
          <w:sz w:val="32"/>
          <w:szCs w:val="32"/>
        </w:rPr>
        <w:t>“物理随机源健康检查”相关的标准分析及标准修改建议</w:t>
      </w:r>
    </w:p>
    <w:p w14:paraId="3E552B44" w14:textId="730CAAAA" w:rsidR="0002234C" w:rsidRDefault="00334558" w:rsidP="00334558">
      <w:pPr>
        <w:jc w:val="center"/>
        <w:rPr>
          <w:rFonts w:hint="eastAsia"/>
        </w:rPr>
      </w:pPr>
      <w:r>
        <w:rPr>
          <w:rFonts w:hint="eastAsia"/>
        </w:rPr>
        <w:t>王江胜，高通，</w:t>
      </w:r>
      <w:r>
        <w:rPr>
          <w:rFonts w:hint="eastAsia"/>
        </w:rPr>
        <w:t>2025-10-16</w:t>
      </w:r>
    </w:p>
    <w:p w14:paraId="41F9696E" w14:textId="51CE7FE7" w:rsidR="0002234C" w:rsidRPr="0002234C" w:rsidRDefault="0002234C" w:rsidP="0002234C">
      <w:pPr>
        <w:pStyle w:val="Heading1"/>
      </w:pPr>
      <w:r w:rsidRPr="0002234C">
        <w:rPr>
          <w:rFonts w:hint="eastAsia"/>
        </w:rPr>
        <w:t>标准分析</w:t>
      </w:r>
    </w:p>
    <w:tbl>
      <w:tblPr>
        <w:tblStyle w:val="TableGrid"/>
        <w:tblpPr w:leftFromText="180" w:rightFromText="180" w:vertAnchor="text" w:horzAnchor="page" w:tblpX="579" w:tblpY="192"/>
        <w:tblW w:w="11335" w:type="dxa"/>
        <w:tblLook w:val="04A0" w:firstRow="1" w:lastRow="0" w:firstColumn="1" w:lastColumn="0" w:noHBand="0" w:noVBand="1"/>
      </w:tblPr>
      <w:tblGrid>
        <w:gridCol w:w="988"/>
        <w:gridCol w:w="1724"/>
        <w:gridCol w:w="1725"/>
        <w:gridCol w:w="1724"/>
        <w:gridCol w:w="1725"/>
        <w:gridCol w:w="1724"/>
        <w:gridCol w:w="1725"/>
      </w:tblGrid>
      <w:tr w:rsidR="0060482C" w:rsidRPr="0060482C" w14:paraId="0D345B92" w14:textId="77777777" w:rsidTr="00A23829">
        <w:tc>
          <w:tcPr>
            <w:tcW w:w="988" w:type="dxa"/>
            <w:vAlign w:val="center"/>
          </w:tcPr>
          <w:p w14:paraId="246908CD" w14:textId="3CF395AE" w:rsidR="0060482C" w:rsidRPr="0060482C" w:rsidRDefault="0060482C" w:rsidP="00A23829">
            <w:pPr>
              <w:rPr>
                <w:rFonts w:ascii="微软雅黑" w:eastAsia="微软雅黑" w:hAnsi="微软雅黑"/>
                <w:b/>
                <w:bCs/>
                <w:sz w:val="18"/>
                <w:szCs w:val="18"/>
              </w:rPr>
            </w:pPr>
          </w:p>
        </w:tc>
        <w:tc>
          <w:tcPr>
            <w:tcW w:w="1724" w:type="dxa"/>
            <w:vAlign w:val="center"/>
          </w:tcPr>
          <w:p w14:paraId="6C83646E" w14:textId="77777777" w:rsidR="0060482C" w:rsidRPr="0060482C" w:rsidRDefault="0060482C" w:rsidP="00A23829">
            <w:pPr>
              <w:rPr>
                <w:rFonts w:ascii="微软雅黑" w:eastAsia="微软雅黑" w:hAnsi="微软雅黑"/>
                <w:b/>
                <w:bCs/>
                <w:sz w:val="18"/>
                <w:szCs w:val="18"/>
              </w:rPr>
            </w:pPr>
            <w:r w:rsidRPr="0060482C">
              <w:rPr>
                <w:rFonts w:ascii="微软雅黑" w:eastAsia="微软雅黑" w:hAnsi="微软雅黑"/>
                <w:b/>
                <w:bCs/>
                <w:sz w:val="18"/>
                <w:szCs w:val="18"/>
              </w:rPr>
              <w:t>NIST SP 800</w:t>
            </w:r>
            <w:r w:rsidRPr="0060482C">
              <w:rPr>
                <w:rFonts w:ascii="微软雅黑" w:eastAsia="微软雅黑" w:hAnsi="微软雅黑"/>
                <w:b/>
                <w:bCs/>
                <w:sz w:val="18"/>
                <w:szCs w:val="18"/>
              </w:rPr>
              <w:noBreakHyphen/>
              <w:t>90B</w:t>
            </w:r>
          </w:p>
        </w:tc>
        <w:tc>
          <w:tcPr>
            <w:tcW w:w="1725" w:type="dxa"/>
            <w:vAlign w:val="center"/>
          </w:tcPr>
          <w:p w14:paraId="07B0C680" w14:textId="77777777" w:rsidR="0060482C" w:rsidRPr="0060482C" w:rsidRDefault="0060482C" w:rsidP="00A23829">
            <w:pPr>
              <w:rPr>
                <w:rFonts w:ascii="微软雅黑" w:eastAsia="微软雅黑" w:hAnsi="微软雅黑"/>
                <w:b/>
                <w:bCs/>
                <w:sz w:val="18"/>
                <w:szCs w:val="18"/>
              </w:rPr>
            </w:pPr>
            <w:r w:rsidRPr="0060482C">
              <w:rPr>
                <w:rFonts w:ascii="微软雅黑" w:eastAsia="微软雅黑" w:hAnsi="微软雅黑"/>
                <w:b/>
                <w:bCs/>
                <w:sz w:val="18"/>
                <w:szCs w:val="18"/>
              </w:rPr>
              <w:t>BSI AIS 20/31</w:t>
            </w:r>
          </w:p>
        </w:tc>
        <w:tc>
          <w:tcPr>
            <w:tcW w:w="1724" w:type="dxa"/>
            <w:vAlign w:val="center"/>
          </w:tcPr>
          <w:p w14:paraId="23BBDDC4" w14:textId="77777777" w:rsidR="0060482C" w:rsidRPr="0060482C" w:rsidRDefault="0060482C" w:rsidP="00A23829">
            <w:pPr>
              <w:rPr>
                <w:rFonts w:ascii="微软雅黑" w:eastAsia="微软雅黑" w:hAnsi="微软雅黑"/>
                <w:b/>
                <w:bCs/>
                <w:sz w:val="18"/>
                <w:szCs w:val="18"/>
              </w:rPr>
            </w:pPr>
            <w:r w:rsidRPr="0060482C">
              <w:rPr>
                <w:rFonts w:ascii="微软雅黑" w:eastAsia="微软雅黑" w:hAnsi="微软雅黑"/>
                <w:b/>
                <w:bCs/>
                <w:sz w:val="18"/>
                <w:szCs w:val="18"/>
              </w:rPr>
              <w:t>ISO/IEC 20543</w:t>
            </w:r>
          </w:p>
        </w:tc>
        <w:tc>
          <w:tcPr>
            <w:tcW w:w="1725" w:type="dxa"/>
            <w:vAlign w:val="center"/>
          </w:tcPr>
          <w:p w14:paraId="793763B1" w14:textId="77777777" w:rsidR="0060482C" w:rsidRPr="0060482C" w:rsidRDefault="0060482C" w:rsidP="00A23829">
            <w:pPr>
              <w:rPr>
                <w:rFonts w:ascii="微软雅黑" w:eastAsia="微软雅黑" w:hAnsi="微软雅黑"/>
                <w:b/>
                <w:bCs/>
                <w:sz w:val="18"/>
                <w:szCs w:val="18"/>
              </w:rPr>
            </w:pPr>
            <w:r w:rsidRPr="0060482C">
              <w:rPr>
                <w:rFonts w:ascii="微软雅黑" w:eastAsia="微软雅黑" w:hAnsi="微软雅黑"/>
                <w:b/>
                <w:bCs/>
                <w:sz w:val="18"/>
                <w:szCs w:val="18"/>
              </w:rPr>
              <w:t>ISO/IEC 18031:2025</w:t>
            </w:r>
          </w:p>
        </w:tc>
        <w:tc>
          <w:tcPr>
            <w:tcW w:w="1724" w:type="dxa"/>
            <w:vAlign w:val="center"/>
          </w:tcPr>
          <w:p w14:paraId="5CF8860B" w14:textId="77777777" w:rsidR="0060482C" w:rsidRPr="0060482C" w:rsidRDefault="0060482C" w:rsidP="00A23829">
            <w:pPr>
              <w:rPr>
                <w:rFonts w:ascii="微软雅黑" w:eastAsia="微软雅黑" w:hAnsi="微软雅黑"/>
                <w:b/>
                <w:bCs/>
                <w:sz w:val="18"/>
                <w:szCs w:val="18"/>
              </w:rPr>
            </w:pPr>
            <w:r w:rsidRPr="0060482C">
              <w:rPr>
                <w:rFonts w:ascii="微软雅黑" w:eastAsia="微软雅黑" w:hAnsi="微软雅黑"/>
                <w:b/>
                <w:bCs/>
                <w:sz w:val="18"/>
                <w:szCs w:val="18"/>
              </w:rPr>
              <w:t>ISO/IEC 19790 / FIPS 140</w:t>
            </w:r>
            <w:r w:rsidRPr="0060482C">
              <w:rPr>
                <w:rFonts w:ascii="微软雅黑" w:eastAsia="微软雅黑" w:hAnsi="微软雅黑"/>
                <w:b/>
                <w:bCs/>
                <w:sz w:val="18"/>
                <w:szCs w:val="18"/>
              </w:rPr>
              <w:noBreakHyphen/>
              <w:t>3 IG</w:t>
            </w:r>
          </w:p>
        </w:tc>
        <w:tc>
          <w:tcPr>
            <w:tcW w:w="1725" w:type="dxa"/>
            <w:vAlign w:val="center"/>
          </w:tcPr>
          <w:p w14:paraId="453B40DE" w14:textId="77777777" w:rsidR="0060482C" w:rsidRPr="0060482C" w:rsidRDefault="0060482C" w:rsidP="00A23829">
            <w:pPr>
              <w:rPr>
                <w:rFonts w:ascii="微软雅黑" w:eastAsia="微软雅黑" w:hAnsi="微软雅黑"/>
                <w:b/>
                <w:bCs/>
                <w:sz w:val="18"/>
                <w:szCs w:val="18"/>
              </w:rPr>
            </w:pPr>
            <w:r w:rsidRPr="0060482C">
              <w:rPr>
                <w:rFonts w:ascii="微软雅黑" w:eastAsia="微软雅黑" w:hAnsi="微软雅黑"/>
                <w:b/>
                <w:bCs/>
                <w:sz w:val="18"/>
                <w:szCs w:val="18"/>
              </w:rPr>
              <w:t>GM/T 0078-2020</w:t>
            </w:r>
          </w:p>
        </w:tc>
      </w:tr>
      <w:tr w:rsidR="00182C2D" w:rsidRPr="0060482C" w14:paraId="1F2CF15F" w14:textId="77777777" w:rsidTr="00A23829">
        <w:tc>
          <w:tcPr>
            <w:tcW w:w="988" w:type="dxa"/>
            <w:vAlign w:val="center"/>
          </w:tcPr>
          <w:p w14:paraId="1EFBE5BF" w14:textId="1E86BB22" w:rsidR="00182C2D" w:rsidRPr="0060482C" w:rsidRDefault="00182C2D" w:rsidP="00A23829">
            <w:pPr>
              <w:rPr>
                <w:rFonts w:ascii="微软雅黑" w:eastAsia="微软雅黑" w:hAnsi="微软雅黑"/>
                <w:sz w:val="18"/>
                <w:szCs w:val="18"/>
              </w:rPr>
            </w:pPr>
            <w:r w:rsidRPr="0060482C">
              <w:rPr>
                <w:rFonts w:ascii="微软雅黑" w:eastAsia="微软雅黑" w:hAnsi="微软雅黑"/>
                <w:sz w:val="18"/>
                <w:szCs w:val="18"/>
              </w:rPr>
              <w:t>健康检测类型</w:t>
            </w:r>
          </w:p>
        </w:tc>
        <w:tc>
          <w:tcPr>
            <w:tcW w:w="1724" w:type="dxa"/>
            <w:vAlign w:val="center"/>
          </w:tcPr>
          <w:p w14:paraId="40A995B2" w14:textId="65FD354B" w:rsidR="00182C2D" w:rsidRPr="0060482C" w:rsidRDefault="00182C2D" w:rsidP="00A23829">
            <w:pPr>
              <w:rPr>
                <w:rFonts w:ascii="微软雅黑" w:eastAsia="微软雅黑" w:hAnsi="微软雅黑"/>
                <w:sz w:val="18"/>
                <w:szCs w:val="18"/>
              </w:rPr>
            </w:pPr>
            <w:r w:rsidRPr="0060482C">
              <w:rPr>
                <w:rFonts w:ascii="微软雅黑" w:eastAsia="微软雅黑" w:hAnsi="微软雅黑"/>
                <w:sz w:val="18"/>
                <w:szCs w:val="18"/>
              </w:rPr>
              <w:t>启动检测、持续检测（RCT/APT）、按需检测</w:t>
            </w:r>
            <w:r w:rsidR="007E7EDB">
              <w:rPr>
                <w:rFonts w:ascii="微软雅黑" w:eastAsia="微软雅黑" w:hAnsi="微软雅黑" w:hint="eastAsia"/>
                <w:sz w:val="18"/>
                <w:szCs w:val="18"/>
              </w:rPr>
              <w:t xml:space="preserve"> （前2者必备，按需可选）</w:t>
            </w:r>
          </w:p>
        </w:tc>
        <w:tc>
          <w:tcPr>
            <w:tcW w:w="1725" w:type="dxa"/>
            <w:vAlign w:val="center"/>
          </w:tcPr>
          <w:p w14:paraId="44E0A82D" w14:textId="0E90CFA8" w:rsidR="00182C2D" w:rsidRPr="0060482C" w:rsidRDefault="00182C2D" w:rsidP="00A23829">
            <w:pPr>
              <w:rPr>
                <w:rFonts w:ascii="微软雅黑" w:eastAsia="微软雅黑" w:hAnsi="微软雅黑"/>
                <w:sz w:val="18"/>
                <w:szCs w:val="18"/>
              </w:rPr>
            </w:pPr>
            <w:r w:rsidRPr="0060482C">
              <w:rPr>
                <w:rFonts w:ascii="微软雅黑" w:eastAsia="微软雅黑" w:hAnsi="微软雅黑"/>
                <w:sz w:val="18"/>
                <w:szCs w:val="18"/>
              </w:rPr>
              <w:t>启动检测、在线检测、总失效检测</w:t>
            </w:r>
          </w:p>
        </w:tc>
        <w:tc>
          <w:tcPr>
            <w:tcW w:w="1724" w:type="dxa"/>
            <w:vAlign w:val="center"/>
          </w:tcPr>
          <w:p w14:paraId="79A0B05E" w14:textId="647B2B1C" w:rsidR="00182C2D" w:rsidRPr="0060482C" w:rsidRDefault="00182C2D" w:rsidP="00A23829">
            <w:pPr>
              <w:rPr>
                <w:rFonts w:ascii="微软雅黑" w:eastAsia="微软雅黑" w:hAnsi="微软雅黑"/>
                <w:sz w:val="18"/>
                <w:szCs w:val="18"/>
              </w:rPr>
            </w:pPr>
            <w:r w:rsidRPr="0060482C">
              <w:rPr>
                <w:rFonts w:ascii="微软雅黑" w:eastAsia="微软雅黑" w:hAnsi="微软雅黑"/>
                <w:sz w:val="18"/>
                <w:szCs w:val="18"/>
              </w:rPr>
              <w:t>启动检测与在线检测，结合评估方法学</w:t>
            </w:r>
          </w:p>
        </w:tc>
        <w:tc>
          <w:tcPr>
            <w:tcW w:w="1725" w:type="dxa"/>
            <w:vAlign w:val="center"/>
          </w:tcPr>
          <w:p w14:paraId="249B072D" w14:textId="6431AB29" w:rsidR="00182C2D" w:rsidRPr="0060482C" w:rsidRDefault="00182C2D" w:rsidP="00A23829">
            <w:pPr>
              <w:rPr>
                <w:rFonts w:ascii="微软雅黑" w:eastAsia="微软雅黑" w:hAnsi="微软雅黑"/>
                <w:sz w:val="18"/>
                <w:szCs w:val="18"/>
              </w:rPr>
            </w:pPr>
            <w:r w:rsidRPr="0060482C">
              <w:rPr>
                <w:rFonts w:ascii="微软雅黑" w:eastAsia="微软雅黑" w:hAnsi="微软雅黑"/>
                <w:sz w:val="18"/>
                <w:szCs w:val="18"/>
              </w:rPr>
              <w:t>启动检测与在线检测，接口留给实现</w:t>
            </w:r>
          </w:p>
        </w:tc>
        <w:tc>
          <w:tcPr>
            <w:tcW w:w="1724" w:type="dxa"/>
            <w:vAlign w:val="center"/>
          </w:tcPr>
          <w:p w14:paraId="6A6F1B18" w14:textId="60802380" w:rsidR="00182C2D" w:rsidRPr="0060482C" w:rsidRDefault="00182C2D" w:rsidP="00A23829">
            <w:pPr>
              <w:rPr>
                <w:rFonts w:ascii="微软雅黑" w:eastAsia="微软雅黑" w:hAnsi="微软雅黑"/>
                <w:sz w:val="18"/>
                <w:szCs w:val="18"/>
              </w:rPr>
            </w:pPr>
            <w:r w:rsidRPr="0060482C">
              <w:rPr>
                <w:rFonts w:ascii="微软雅黑" w:eastAsia="微软雅黑" w:hAnsi="微软雅黑"/>
                <w:sz w:val="18"/>
                <w:szCs w:val="18"/>
              </w:rPr>
              <w:t>启动检测、持续检测，模块级要求</w:t>
            </w:r>
          </w:p>
        </w:tc>
        <w:tc>
          <w:tcPr>
            <w:tcW w:w="1725" w:type="dxa"/>
            <w:vAlign w:val="center"/>
          </w:tcPr>
          <w:p w14:paraId="436F4814" w14:textId="2EDEDD03" w:rsidR="00182C2D" w:rsidRPr="0060482C" w:rsidRDefault="00182C2D" w:rsidP="00A23829">
            <w:pPr>
              <w:rPr>
                <w:rFonts w:ascii="微软雅黑" w:eastAsia="微软雅黑" w:hAnsi="微软雅黑"/>
                <w:sz w:val="18"/>
                <w:szCs w:val="18"/>
              </w:rPr>
            </w:pPr>
            <w:r w:rsidRPr="0060482C">
              <w:rPr>
                <w:rFonts w:ascii="微软雅黑" w:eastAsia="微软雅黑" w:hAnsi="微软雅黑"/>
                <w:sz w:val="18"/>
                <w:szCs w:val="18"/>
              </w:rPr>
              <w:t>启动检测、在线检测、总失效检测</w:t>
            </w:r>
          </w:p>
        </w:tc>
      </w:tr>
      <w:tr w:rsidR="0060482C" w:rsidRPr="0060482C" w14:paraId="2AA075E5" w14:textId="77777777" w:rsidTr="00A23829">
        <w:tc>
          <w:tcPr>
            <w:tcW w:w="988" w:type="dxa"/>
            <w:vAlign w:val="center"/>
          </w:tcPr>
          <w:p w14:paraId="2CA99821" w14:textId="77777777" w:rsidR="0060482C" w:rsidRPr="0060482C" w:rsidRDefault="0060482C" w:rsidP="00A23829">
            <w:pPr>
              <w:rPr>
                <w:rFonts w:ascii="微软雅黑" w:eastAsia="微软雅黑" w:hAnsi="微软雅黑"/>
                <w:sz w:val="18"/>
                <w:szCs w:val="18"/>
              </w:rPr>
            </w:pPr>
            <w:r w:rsidRPr="0060482C">
              <w:rPr>
                <w:rFonts w:ascii="微软雅黑" w:eastAsia="微软雅黑" w:hAnsi="微软雅黑"/>
                <w:sz w:val="18"/>
                <w:szCs w:val="18"/>
              </w:rPr>
              <w:t>在线健康检测</w:t>
            </w:r>
          </w:p>
        </w:tc>
        <w:tc>
          <w:tcPr>
            <w:tcW w:w="1724" w:type="dxa"/>
            <w:vAlign w:val="center"/>
          </w:tcPr>
          <w:p w14:paraId="013DE449" w14:textId="77777777" w:rsidR="0060482C" w:rsidRPr="0060482C" w:rsidRDefault="0060482C" w:rsidP="00A23829">
            <w:pPr>
              <w:rPr>
                <w:rFonts w:ascii="微软雅黑" w:eastAsia="微软雅黑" w:hAnsi="微软雅黑"/>
                <w:sz w:val="18"/>
                <w:szCs w:val="18"/>
              </w:rPr>
            </w:pPr>
            <w:r w:rsidRPr="0060482C">
              <w:rPr>
                <w:rFonts w:ascii="微软雅黑" w:eastAsia="微软雅黑" w:hAnsi="微软雅黑"/>
                <w:sz w:val="18"/>
                <w:szCs w:val="18"/>
              </w:rPr>
              <w:t>推荐 RCT/APT；强调原始噪声层优先</w:t>
            </w:r>
          </w:p>
        </w:tc>
        <w:tc>
          <w:tcPr>
            <w:tcW w:w="1725" w:type="dxa"/>
            <w:vAlign w:val="center"/>
          </w:tcPr>
          <w:p w14:paraId="3E6B8422" w14:textId="77777777" w:rsidR="0060482C" w:rsidRPr="0060482C" w:rsidRDefault="0060482C" w:rsidP="00A23829">
            <w:pPr>
              <w:rPr>
                <w:rFonts w:ascii="微软雅黑" w:eastAsia="微软雅黑" w:hAnsi="微软雅黑"/>
                <w:sz w:val="18"/>
                <w:szCs w:val="18"/>
              </w:rPr>
            </w:pPr>
            <w:r w:rsidRPr="0060482C">
              <w:rPr>
                <w:rFonts w:ascii="微软雅黑" w:eastAsia="微软雅黑" w:hAnsi="微软雅黑"/>
                <w:sz w:val="18"/>
                <w:szCs w:val="18"/>
              </w:rPr>
              <w:t>要求在线测试；</w:t>
            </w:r>
            <w:proofErr w:type="gramStart"/>
            <w:r w:rsidRPr="0060482C">
              <w:rPr>
                <w:rFonts w:ascii="微软雅黑" w:eastAsia="微软雅黑" w:hAnsi="微软雅黑"/>
                <w:sz w:val="18"/>
                <w:szCs w:val="18"/>
              </w:rPr>
              <w:t>强调总</w:t>
            </w:r>
            <w:proofErr w:type="gramEnd"/>
            <w:r w:rsidRPr="0060482C">
              <w:rPr>
                <w:rFonts w:ascii="微软雅黑" w:eastAsia="微软雅黑" w:hAnsi="微软雅黑"/>
                <w:sz w:val="18"/>
                <w:szCs w:val="18"/>
              </w:rPr>
              <w:t>失效测试</w:t>
            </w:r>
          </w:p>
        </w:tc>
        <w:tc>
          <w:tcPr>
            <w:tcW w:w="1724" w:type="dxa"/>
            <w:vAlign w:val="center"/>
          </w:tcPr>
          <w:p w14:paraId="3DB8EE5C" w14:textId="77777777" w:rsidR="0060482C" w:rsidRPr="0060482C" w:rsidRDefault="0060482C" w:rsidP="00A23829">
            <w:pPr>
              <w:rPr>
                <w:rFonts w:ascii="微软雅黑" w:eastAsia="微软雅黑" w:hAnsi="微软雅黑"/>
                <w:sz w:val="18"/>
                <w:szCs w:val="18"/>
              </w:rPr>
            </w:pPr>
            <w:r w:rsidRPr="0060482C">
              <w:rPr>
                <w:rFonts w:ascii="微软雅黑" w:eastAsia="微软雅黑" w:hAnsi="微软雅黑"/>
                <w:sz w:val="18"/>
                <w:szCs w:val="18"/>
              </w:rPr>
              <w:t>提供评估方法学与审核证据框架</w:t>
            </w:r>
          </w:p>
        </w:tc>
        <w:tc>
          <w:tcPr>
            <w:tcW w:w="1725" w:type="dxa"/>
            <w:vAlign w:val="center"/>
          </w:tcPr>
          <w:p w14:paraId="7A9D14D6" w14:textId="77777777" w:rsidR="0060482C" w:rsidRPr="0060482C" w:rsidRDefault="0060482C" w:rsidP="00A23829">
            <w:pPr>
              <w:rPr>
                <w:rFonts w:ascii="微软雅黑" w:eastAsia="微软雅黑" w:hAnsi="微软雅黑"/>
                <w:sz w:val="18"/>
                <w:szCs w:val="18"/>
              </w:rPr>
            </w:pPr>
            <w:r w:rsidRPr="0060482C">
              <w:rPr>
                <w:rFonts w:ascii="微软雅黑" w:eastAsia="微软雅黑" w:hAnsi="微软雅黑"/>
                <w:sz w:val="18"/>
                <w:szCs w:val="18"/>
              </w:rPr>
              <w:t>定义RBG模型与安全要求，留接口给测试</w:t>
            </w:r>
          </w:p>
        </w:tc>
        <w:tc>
          <w:tcPr>
            <w:tcW w:w="1724" w:type="dxa"/>
            <w:vAlign w:val="center"/>
          </w:tcPr>
          <w:p w14:paraId="773558A4" w14:textId="53ACD8FF" w:rsidR="0060482C" w:rsidRPr="0060482C" w:rsidRDefault="0060482C" w:rsidP="00A23829">
            <w:pPr>
              <w:rPr>
                <w:rFonts w:ascii="微软雅黑" w:eastAsia="微软雅黑" w:hAnsi="微软雅黑"/>
                <w:sz w:val="18"/>
                <w:szCs w:val="18"/>
              </w:rPr>
            </w:pPr>
            <w:r w:rsidRPr="0060482C">
              <w:rPr>
                <w:rFonts w:ascii="微软雅黑" w:eastAsia="微软雅黑" w:hAnsi="微软雅黑"/>
                <w:sz w:val="18"/>
                <w:szCs w:val="18"/>
              </w:rPr>
              <w:t>以模块视角约束失败处理、</w:t>
            </w:r>
            <w:r w:rsidR="00720E3C">
              <w:rPr>
                <w:rFonts w:ascii="微软雅黑" w:eastAsia="微软雅黑" w:hAnsi="微软雅黑"/>
                <w:sz w:val="18"/>
                <w:szCs w:val="18"/>
              </w:rPr>
              <w:t>后处理</w:t>
            </w:r>
            <w:r w:rsidRPr="0060482C">
              <w:rPr>
                <w:rFonts w:ascii="微软雅黑" w:eastAsia="微软雅黑" w:hAnsi="微软雅黑"/>
                <w:sz w:val="18"/>
                <w:szCs w:val="18"/>
              </w:rPr>
              <w:t>与证明路径</w:t>
            </w:r>
          </w:p>
        </w:tc>
        <w:tc>
          <w:tcPr>
            <w:tcW w:w="1725" w:type="dxa"/>
            <w:vAlign w:val="center"/>
          </w:tcPr>
          <w:p w14:paraId="54967201" w14:textId="77777777" w:rsidR="0060482C" w:rsidRPr="0060482C" w:rsidRDefault="0060482C" w:rsidP="00A23829">
            <w:pPr>
              <w:rPr>
                <w:rFonts w:ascii="微软雅黑" w:eastAsia="微软雅黑" w:hAnsi="微软雅黑"/>
                <w:sz w:val="18"/>
                <w:szCs w:val="18"/>
              </w:rPr>
            </w:pPr>
            <w:r w:rsidRPr="0060482C">
              <w:rPr>
                <w:rFonts w:ascii="微软雅黑" w:eastAsia="微软雅黑" w:hAnsi="微软雅黑"/>
                <w:sz w:val="18"/>
                <w:szCs w:val="18"/>
              </w:rPr>
              <w:t>要求在线健康检测，</w:t>
            </w:r>
            <w:proofErr w:type="gramStart"/>
            <w:r w:rsidRPr="0060482C">
              <w:rPr>
                <w:rFonts w:ascii="微软雅黑" w:eastAsia="微软雅黑" w:hAnsi="微软雅黑"/>
                <w:sz w:val="18"/>
                <w:szCs w:val="18"/>
              </w:rPr>
              <w:t>覆盖熵源输出</w:t>
            </w:r>
            <w:proofErr w:type="gramEnd"/>
            <w:r w:rsidRPr="0060482C">
              <w:rPr>
                <w:rFonts w:ascii="微软雅黑" w:eastAsia="微软雅黑" w:hAnsi="微软雅黑"/>
                <w:sz w:val="18"/>
                <w:szCs w:val="18"/>
              </w:rPr>
              <w:t>监控</w:t>
            </w:r>
          </w:p>
        </w:tc>
      </w:tr>
      <w:tr w:rsidR="0060482C" w:rsidRPr="0060482C" w14:paraId="2A85C7CB" w14:textId="77777777" w:rsidTr="00A23829">
        <w:tc>
          <w:tcPr>
            <w:tcW w:w="988" w:type="dxa"/>
            <w:vAlign w:val="center"/>
          </w:tcPr>
          <w:p w14:paraId="68D78A63" w14:textId="77777777" w:rsidR="0060482C" w:rsidRPr="0060482C" w:rsidRDefault="0060482C" w:rsidP="00A23829">
            <w:pPr>
              <w:rPr>
                <w:rFonts w:ascii="微软雅黑" w:eastAsia="微软雅黑" w:hAnsi="微软雅黑"/>
                <w:sz w:val="18"/>
                <w:szCs w:val="18"/>
              </w:rPr>
            </w:pPr>
            <w:r w:rsidRPr="0060482C">
              <w:rPr>
                <w:rFonts w:ascii="微软雅黑" w:eastAsia="微软雅黑" w:hAnsi="微软雅黑"/>
                <w:sz w:val="18"/>
                <w:szCs w:val="18"/>
              </w:rPr>
              <w:t>总失效测试</w:t>
            </w:r>
          </w:p>
        </w:tc>
        <w:tc>
          <w:tcPr>
            <w:tcW w:w="1724" w:type="dxa"/>
            <w:vAlign w:val="center"/>
          </w:tcPr>
          <w:p w14:paraId="2FE4DAA6" w14:textId="7EFD6721" w:rsidR="0060482C" w:rsidRPr="0060482C" w:rsidRDefault="0060482C" w:rsidP="00A23829">
            <w:pPr>
              <w:rPr>
                <w:rFonts w:ascii="微软雅黑" w:eastAsia="微软雅黑" w:hAnsi="微软雅黑"/>
                <w:sz w:val="18"/>
                <w:szCs w:val="18"/>
              </w:rPr>
            </w:pPr>
            <w:r w:rsidRPr="0060482C">
              <w:rPr>
                <w:rFonts w:ascii="微软雅黑" w:eastAsia="微软雅黑" w:hAnsi="微软雅黑"/>
                <w:sz w:val="18"/>
                <w:szCs w:val="18"/>
              </w:rPr>
              <w:t>可纳入在线测试集合</w:t>
            </w:r>
            <w:r w:rsidR="007E7EDB">
              <w:rPr>
                <w:rFonts w:ascii="微软雅黑" w:eastAsia="微软雅黑" w:hAnsi="微软雅黑" w:hint="eastAsia"/>
                <w:sz w:val="18"/>
                <w:szCs w:val="18"/>
              </w:rPr>
              <w:t>（可选或自选）</w:t>
            </w:r>
          </w:p>
        </w:tc>
        <w:tc>
          <w:tcPr>
            <w:tcW w:w="1725" w:type="dxa"/>
            <w:vAlign w:val="center"/>
          </w:tcPr>
          <w:p w14:paraId="79A4CE3E" w14:textId="77777777" w:rsidR="0060482C" w:rsidRPr="007E7EDB" w:rsidRDefault="0060482C" w:rsidP="00A23829">
            <w:pPr>
              <w:rPr>
                <w:rFonts w:ascii="微软雅黑" w:eastAsia="微软雅黑" w:hAnsi="微软雅黑"/>
                <w:sz w:val="18"/>
                <w:szCs w:val="18"/>
              </w:rPr>
            </w:pPr>
            <w:r w:rsidRPr="0060482C">
              <w:rPr>
                <w:rFonts w:ascii="微软雅黑" w:eastAsia="微软雅黑" w:hAnsi="微软雅黑"/>
                <w:sz w:val="18"/>
                <w:szCs w:val="18"/>
              </w:rPr>
              <w:t>明确强调</w:t>
            </w:r>
          </w:p>
        </w:tc>
        <w:tc>
          <w:tcPr>
            <w:tcW w:w="1724" w:type="dxa"/>
            <w:vAlign w:val="center"/>
          </w:tcPr>
          <w:p w14:paraId="42892CB7" w14:textId="77777777" w:rsidR="0060482C" w:rsidRPr="0060482C" w:rsidRDefault="0060482C" w:rsidP="00A23829">
            <w:pPr>
              <w:rPr>
                <w:rFonts w:ascii="微软雅黑" w:eastAsia="微软雅黑" w:hAnsi="微软雅黑"/>
                <w:sz w:val="18"/>
                <w:szCs w:val="18"/>
              </w:rPr>
            </w:pPr>
            <w:r w:rsidRPr="0060482C">
              <w:rPr>
                <w:rFonts w:ascii="微软雅黑" w:eastAsia="微软雅黑" w:hAnsi="微软雅黑"/>
                <w:sz w:val="18"/>
                <w:szCs w:val="18"/>
              </w:rPr>
              <w:t>作为测试项的方法学可实现</w:t>
            </w:r>
          </w:p>
        </w:tc>
        <w:tc>
          <w:tcPr>
            <w:tcW w:w="1725" w:type="dxa"/>
            <w:vAlign w:val="center"/>
          </w:tcPr>
          <w:p w14:paraId="23853CA1" w14:textId="77777777" w:rsidR="0060482C" w:rsidRPr="0060482C" w:rsidRDefault="0060482C" w:rsidP="00A23829">
            <w:pPr>
              <w:rPr>
                <w:rFonts w:ascii="微软雅黑" w:eastAsia="微软雅黑" w:hAnsi="微软雅黑"/>
                <w:sz w:val="18"/>
                <w:szCs w:val="18"/>
              </w:rPr>
            </w:pPr>
            <w:r w:rsidRPr="0060482C">
              <w:rPr>
                <w:rFonts w:ascii="微软雅黑" w:eastAsia="微软雅黑" w:hAnsi="微软雅黑"/>
                <w:sz w:val="18"/>
                <w:szCs w:val="18"/>
              </w:rPr>
              <w:t>保持概念一致</w:t>
            </w:r>
          </w:p>
        </w:tc>
        <w:tc>
          <w:tcPr>
            <w:tcW w:w="1724" w:type="dxa"/>
            <w:vAlign w:val="center"/>
          </w:tcPr>
          <w:p w14:paraId="49739F4A" w14:textId="77777777" w:rsidR="0060482C" w:rsidRPr="0060482C" w:rsidRDefault="0060482C" w:rsidP="00A23829">
            <w:pPr>
              <w:rPr>
                <w:rFonts w:ascii="微软雅黑" w:eastAsia="微软雅黑" w:hAnsi="微软雅黑"/>
                <w:sz w:val="18"/>
                <w:szCs w:val="18"/>
              </w:rPr>
            </w:pPr>
            <w:r w:rsidRPr="0060482C">
              <w:rPr>
                <w:rFonts w:ascii="微软雅黑" w:eastAsia="微软雅黑" w:hAnsi="微软雅黑"/>
                <w:sz w:val="18"/>
                <w:szCs w:val="18"/>
              </w:rPr>
              <w:t>以模块行为约束抑制/禁用</w:t>
            </w:r>
          </w:p>
        </w:tc>
        <w:tc>
          <w:tcPr>
            <w:tcW w:w="1725" w:type="dxa"/>
            <w:vAlign w:val="center"/>
          </w:tcPr>
          <w:p w14:paraId="73B2B990" w14:textId="77777777" w:rsidR="0060482C" w:rsidRPr="0060482C" w:rsidRDefault="0060482C" w:rsidP="00A23829">
            <w:pPr>
              <w:rPr>
                <w:rFonts w:ascii="微软雅黑" w:eastAsia="微软雅黑" w:hAnsi="微软雅黑"/>
                <w:sz w:val="18"/>
                <w:szCs w:val="18"/>
              </w:rPr>
            </w:pPr>
            <w:r w:rsidRPr="0060482C">
              <w:rPr>
                <w:rFonts w:ascii="微软雅黑" w:eastAsia="微软雅黑" w:hAnsi="微软雅黑"/>
                <w:sz w:val="18"/>
                <w:szCs w:val="18"/>
              </w:rPr>
              <w:t>明确要求</w:t>
            </w:r>
            <w:proofErr w:type="gramStart"/>
            <w:r w:rsidRPr="0060482C">
              <w:rPr>
                <w:rFonts w:ascii="微软雅黑" w:eastAsia="微软雅黑" w:hAnsi="微软雅黑"/>
                <w:sz w:val="18"/>
                <w:szCs w:val="18"/>
              </w:rPr>
              <w:t>检测全</w:t>
            </w:r>
            <w:proofErr w:type="gramEnd"/>
            <w:r w:rsidRPr="0060482C">
              <w:rPr>
                <w:rFonts w:ascii="微软雅黑" w:eastAsia="微软雅黑" w:hAnsi="微软雅黑"/>
                <w:sz w:val="18"/>
                <w:szCs w:val="18"/>
              </w:rPr>
              <w:t>0、全1等整体失效场景</w:t>
            </w:r>
          </w:p>
        </w:tc>
      </w:tr>
      <w:tr w:rsidR="0060482C" w:rsidRPr="0060482C" w14:paraId="5915F959" w14:textId="77777777" w:rsidTr="00A23829">
        <w:tc>
          <w:tcPr>
            <w:tcW w:w="988" w:type="dxa"/>
            <w:vAlign w:val="center"/>
          </w:tcPr>
          <w:p w14:paraId="34918EFA" w14:textId="77777777" w:rsidR="0060482C" w:rsidRPr="0060482C" w:rsidRDefault="0060482C" w:rsidP="00A23829">
            <w:pPr>
              <w:rPr>
                <w:rFonts w:ascii="微软雅黑" w:eastAsia="微软雅黑" w:hAnsi="微软雅黑"/>
                <w:sz w:val="18"/>
                <w:szCs w:val="18"/>
              </w:rPr>
            </w:pPr>
            <w:r w:rsidRPr="0060482C">
              <w:rPr>
                <w:rFonts w:ascii="微软雅黑" w:eastAsia="微软雅黑" w:hAnsi="微软雅黑"/>
                <w:sz w:val="18"/>
                <w:szCs w:val="18"/>
              </w:rPr>
              <w:t>健康检测技术</w:t>
            </w:r>
          </w:p>
        </w:tc>
        <w:tc>
          <w:tcPr>
            <w:tcW w:w="1724" w:type="dxa"/>
            <w:vAlign w:val="center"/>
          </w:tcPr>
          <w:p w14:paraId="4F26DF3E" w14:textId="09CB5564" w:rsidR="0060482C" w:rsidRPr="0060482C" w:rsidRDefault="0060482C" w:rsidP="00A23829">
            <w:pPr>
              <w:rPr>
                <w:rFonts w:ascii="微软雅黑" w:eastAsia="微软雅黑" w:hAnsi="微软雅黑"/>
                <w:sz w:val="18"/>
                <w:szCs w:val="18"/>
              </w:rPr>
            </w:pPr>
            <w:r w:rsidRPr="0060482C">
              <w:rPr>
                <w:rFonts w:ascii="微软雅黑" w:eastAsia="微软雅黑" w:hAnsi="微软雅黑"/>
                <w:sz w:val="18"/>
                <w:szCs w:val="18"/>
              </w:rPr>
              <w:t>RCT、APT（统计测试）；等效性证明</w:t>
            </w:r>
            <w:r w:rsidR="00E923BF">
              <w:rPr>
                <w:rFonts w:ascii="微软雅黑" w:eastAsia="微软雅黑" w:hAnsi="微软雅黑" w:hint="eastAsia"/>
                <w:sz w:val="18"/>
                <w:szCs w:val="18"/>
              </w:rPr>
              <w:t>（RCT和APT属于vetted）</w:t>
            </w:r>
          </w:p>
        </w:tc>
        <w:tc>
          <w:tcPr>
            <w:tcW w:w="1725" w:type="dxa"/>
            <w:vAlign w:val="center"/>
          </w:tcPr>
          <w:p w14:paraId="214F1FDF" w14:textId="77777777" w:rsidR="0060482C" w:rsidRPr="0060482C" w:rsidRDefault="0060482C" w:rsidP="00A23829">
            <w:pPr>
              <w:rPr>
                <w:rFonts w:ascii="微软雅黑" w:eastAsia="微软雅黑" w:hAnsi="微软雅黑"/>
                <w:sz w:val="18"/>
                <w:szCs w:val="18"/>
              </w:rPr>
            </w:pPr>
            <w:r w:rsidRPr="0060482C">
              <w:rPr>
                <w:rFonts w:ascii="微软雅黑" w:eastAsia="微软雅黑" w:hAnsi="微软雅黑"/>
                <w:sz w:val="18"/>
                <w:szCs w:val="18"/>
              </w:rPr>
              <w:t>RCT、APT + 总失效判定（如全0/全1检测）</w:t>
            </w:r>
          </w:p>
        </w:tc>
        <w:tc>
          <w:tcPr>
            <w:tcW w:w="1724" w:type="dxa"/>
            <w:vAlign w:val="center"/>
          </w:tcPr>
          <w:p w14:paraId="73867963" w14:textId="77777777" w:rsidR="0060482C" w:rsidRPr="0060482C" w:rsidRDefault="0060482C" w:rsidP="00A23829">
            <w:pPr>
              <w:rPr>
                <w:rFonts w:ascii="微软雅黑" w:eastAsia="微软雅黑" w:hAnsi="微软雅黑"/>
                <w:sz w:val="18"/>
                <w:szCs w:val="18"/>
              </w:rPr>
            </w:pPr>
            <w:r w:rsidRPr="0060482C">
              <w:rPr>
                <w:rFonts w:ascii="微软雅黑" w:eastAsia="微软雅黑" w:hAnsi="微软雅黑"/>
                <w:sz w:val="18"/>
                <w:szCs w:val="18"/>
              </w:rPr>
              <w:t>方法学框架，不限定具体技术</w:t>
            </w:r>
          </w:p>
        </w:tc>
        <w:tc>
          <w:tcPr>
            <w:tcW w:w="1725" w:type="dxa"/>
            <w:vAlign w:val="center"/>
          </w:tcPr>
          <w:p w14:paraId="08EBC0D5" w14:textId="77777777" w:rsidR="0060482C" w:rsidRPr="0060482C" w:rsidRDefault="0060482C" w:rsidP="00A23829">
            <w:pPr>
              <w:rPr>
                <w:rFonts w:ascii="微软雅黑" w:eastAsia="微软雅黑" w:hAnsi="微软雅黑"/>
                <w:sz w:val="18"/>
                <w:szCs w:val="18"/>
              </w:rPr>
            </w:pPr>
            <w:r w:rsidRPr="0060482C">
              <w:rPr>
                <w:rFonts w:ascii="微软雅黑" w:eastAsia="微软雅黑" w:hAnsi="微软雅黑"/>
                <w:sz w:val="18"/>
                <w:szCs w:val="18"/>
              </w:rPr>
              <w:t>概念模型，技术选择</w:t>
            </w:r>
            <w:proofErr w:type="gramStart"/>
            <w:r w:rsidRPr="0060482C">
              <w:rPr>
                <w:rFonts w:ascii="微软雅黑" w:eastAsia="微软雅黑" w:hAnsi="微软雅黑"/>
                <w:sz w:val="18"/>
                <w:szCs w:val="18"/>
              </w:rPr>
              <w:t>由实现</w:t>
            </w:r>
            <w:proofErr w:type="gramEnd"/>
            <w:r w:rsidRPr="0060482C">
              <w:rPr>
                <w:rFonts w:ascii="微软雅黑" w:eastAsia="微软雅黑" w:hAnsi="微软雅黑"/>
                <w:sz w:val="18"/>
                <w:szCs w:val="18"/>
              </w:rPr>
              <w:t>决定</w:t>
            </w:r>
          </w:p>
        </w:tc>
        <w:tc>
          <w:tcPr>
            <w:tcW w:w="1724" w:type="dxa"/>
            <w:vAlign w:val="center"/>
          </w:tcPr>
          <w:p w14:paraId="57515437" w14:textId="09B4C56A" w:rsidR="0060482C" w:rsidRPr="0060482C" w:rsidRDefault="0060482C" w:rsidP="00A23829">
            <w:pPr>
              <w:rPr>
                <w:rFonts w:ascii="微软雅黑" w:eastAsia="微软雅黑" w:hAnsi="微软雅黑"/>
                <w:sz w:val="18"/>
                <w:szCs w:val="18"/>
              </w:rPr>
            </w:pPr>
            <w:r w:rsidRPr="0060482C">
              <w:rPr>
                <w:rFonts w:ascii="微软雅黑" w:eastAsia="微软雅黑" w:hAnsi="微软雅黑"/>
                <w:sz w:val="18"/>
                <w:szCs w:val="18"/>
              </w:rPr>
              <w:t>统计测试 + 状态监控，结合</w:t>
            </w:r>
            <w:r w:rsidR="00720E3C">
              <w:rPr>
                <w:rFonts w:ascii="微软雅黑" w:eastAsia="微软雅黑" w:hAnsi="微软雅黑"/>
                <w:sz w:val="18"/>
                <w:szCs w:val="18"/>
              </w:rPr>
              <w:t>后处理</w:t>
            </w:r>
            <w:r w:rsidRPr="0060482C">
              <w:rPr>
                <w:rFonts w:ascii="微软雅黑" w:eastAsia="微软雅黑" w:hAnsi="微软雅黑"/>
                <w:sz w:val="18"/>
                <w:szCs w:val="18"/>
              </w:rPr>
              <w:t>策略</w:t>
            </w:r>
          </w:p>
        </w:tc>
        <w:tc>
          <w:tcPr>
            <w:tcW w:w="1725" w:type="dxa"/>
            <w:vAlign w:val="center"/>
          </w:tcPr>
          <w:p w14:paraId="66189B98" w14:textId="6BE8FF5C" w:rsidR="0060482C" w:rsidRPr="0060482C" w:rsidRDefault="00A23829" w:rsidP="00A23829">
            <w:pPr>
              <w:rPr>
                <w:rFonts w:ascii="微软雅黑" w:eastAsia="微软雅黑" w:hAnsi="微软雅黑" w:hint="eastAsia"/>
                <w:sz w:val="18"/>
                <w:szCs w:val="18"/>
              </w:rPr>
            </w:pPr>
            <w:r>
              <w:rPr>
                <w:rFonts w:ascii="微软雅黑" w:eastAsia="微软雅黑" w:hAnsi="微软雅黑" w:hint="eastAsia"/>
                <w:sz w:val="18"/>
                <w:szCs w:val="18"/>
              </w:rPr>
              <w:t>32比特长度的全0全1检测</w:t>
            </w:r>
          </w:p>
        </w:tc>
      </w:tr>
      <w:tr w:rsidR="0060482C" w:rsidRPr="0060482C" w14:paraId="0A9C94BD" w14:textId="77777777" w:rsidTr="00A23829">
        <w:tc>
          <w:tcPr>
            <w:tcW w:w="988" w:type="dxa"/>
            <w:vAlign w:val="center"/>
          </w:tcPr>
          <w:p w14:paraId="3B0BB116" w14:textId="437F72CB" w:rsidR="0060482C" w:rsidRPr="0060482C" w:rsidRDefault="00720E3C" w:rsidP="00A23829">
            <w:pPr>
              <w:rPr>
                <w:rFonts w:ascii="微软雅黑" w:eastAsia="微软雅黑" w:hAnsi="微软雅黑"/>
                <w:sz w:val="18"/>
                <w:szCs w:val="18"/>
              </w:rPr>
            </w:pPr>
            <w:r>
              <w:rPr>
                <w:rFonts w:ascii="微软雅黑" w:eastAsia="微软雅黑" w:hAnsi="微软雅黑"/>
                <w:sz w:val="18"/>
                <w:szCs w:val="18"/>
              </w:rPr>
              <w:t>后处理</w:t>
            </w:r>
            <w:r w:rsidR="0060482C" w:rsidRPr="0060482C">
              <w:rPr>
                <w:rFonts w:ascii="微软雅黑" w:eastAsia="微软雅黑" w:hAnsi="微软雅黑"/>
                <w:sz w:val="18"/>
                <w:szCs w:val="18"/>
              </w:rPr>
              <w:t>位置</w:t>
            </w:r>
          </w:p>
        </w:tc>
        <w:tc>
          <w:tcPr>
            <w:tcW w:w="1724" w:type="dxa"/>
            <w:vAlign w:val="center"/>
          </w:tcPr>
          <w:p w14:paraId="4A956618" w14:textId="77777777" w:rsidR="0060482C" w:rsidRPr="0060482C" w:rsidRDefault="0060482C" w:rsidP="00A23829">
            <w:pPr>
              <w:rPr>
                <w:rFonts w:ascii="微软雅黑" w:eastAsia="微软雅黑" w:hAnsi="微软雅黑"/>
                <w:sz w:val="18"/>
                <w:szCs w:val="18"/>
              </w:rPr>
            </w:pPr>
            <w:r w:rsidRPr="0060482C">
              <w:rPr>
                <w:rFonts w:ascii="微软雅黑" w:eastAsia="微软雅黑" w:hAnsi="微软雅黑"/>
                <w:sz w:val="18"/>
                <w:szCs w:val="18"/>
              </w:rPr>
              <w:t>原噪声层优先；非vetted需等效证明</w:t>
            </w:r>
          </w:p>
        </w:tc>
        <w:tc>
          <w:tcPr>
            <w:tcW w:w="1725" w:type="dxa"/>
            <w:vAlign w:val="center"/>
          </w:tcPr>
          <w:p w14:paraId="607A7D09" w14:textId="77777777" w:rsidR="0060482C" w:rsidRPr="0060482C" w:rsidRDefault="0060482C" w:rsidP="00A23829">
            <w:pPr>
              <w:rPr>
                <w:rFonts w:ascii="微软雅黑" w:eastAsia="微软雅黑" w:hAnsi="微软雅黑"/>
                <w:sz w:val="18"/>
                <w:szCs w:val="18"/>
              </w:rPr>
            </w:pPr>
            <w:r w:rsidRPr="0060482C">
              <w:rPr>
                <w:rFonts w:ascii="微软雅黑" w:eastAsia="微软雅黑" w:hAnsi="微软雅黑"/>
                <w:sz w:val="18"/>
                <w:szCs w:val="18"/>
              </w:rPr>
              <w:t>与90B趋同</w:t>
            </w:r>
          </w:p>
        </w:tc>
        <w:tc>
          <w:tcPr>
            <w:tcW w:w="1724" w:type="dxa"/>
            <w:vAlign w:val="center"/>
          </w:tcPr>
          <w:p w14:paraId="561BA5B3" w14:textId="77777777" w:rsidR="0060482C" w:rsidRPr="0060482C" w:rsidRDefault="0060482C" w:rsidP="00A23829">
            <w:pPr>
              <w:rPr>
                <w:rFonts w:ascii="微软雅黑" w:eastAsia="微软雅黑" w:hAnsi="微软雅黑"/>
                <w:sz w:val="18"/>
                <w:szCs w:val="18"/>
              </w:rPr>
            </w:pPr>
            <w:r w:rsidRPr="0060482C">
              <w:rPr>
                <w:rFonts w:ascii="微软雅黑" w:eastAsia="微软雅黑" w:hAnsi="微软雅黑"/>
                <w:sz w:val="18"/>
                <w:szCs w:val="18"/>
              </w:rPr>
              <w:t>不限定实现，强调可评估</w:t>
            </w:r>
          </w:p>
        </w:tc>
        <w:tc>
          <w:tcPr>
            <w:tcW w:w="1725" w:type="dxa"/>
            <w:vAlign w:val="center"/>
          </w:tcPr>
          <w:p w14:paraId="7DB09F49" w14:textId="77777777" w:rsidR="0060482C" w:rsidRPr="0060482C" w:rsidRDefault="0060482C" w:rsidP="00A23829">
            <w:pPr>
              <w:rPr>
                <w:rFonts w:ascii="微软雅黑" w:eastAsia="微软雅黑" w:hAnsi="微软雅黑"/>
                <w:sz w:val="18"/>
                <w:szCs w:val="18"/>
              </w:rPr>
            </w:pPr>
            <w:r w:rsidRPr="0060482C">
              <w:rPr>
                <w:rFonts w:ascii="微软雅黑" w:eastAsia="微软雅黑" w:hAnsi="微软雅黑"/>
                <w:sz w:val="18"/>
                <w:szCs w:val="18"/>
              </w:rPr>
              <w:t>给出概念模型</w:t>
            </w:r>
          </w:p>
        </w:tc>
        <w:tc>
          <w:tcPr>
            <w:tcW w:w="1724" w:type="dxa"/>
            <w:vAlign w:val="center"/>
          </w:tcPr>
          <w:p w14:paraId="7BDBBCDC" w14:textId="77777777" w:rsidR="0060482C" w:rsidRPr="0060482C" w:rsidRDefault="0060482C" w:rsidP="00A23829">
            <w:pPr>
              <w:rPr>
                <w:rFonts w:ascii="微软雅黑" w:eastAsia="微软雅黑" w:hAnsi="微软雅黑"/>
                <w:sz w:val="18"/>
                <w:szCs w:val="18"/>
              </w:rPr>
            </w:pPr>
            <w:r w:rsidRPr="0060482C">
              <w:rPr>
                <w:rFonts w:ascii="微软雅黑" w:eastAsia="微软雅黑" w:hAnsi="微软雅黑"/>
                <w:sz w:val="18"/>
                <w:szCs w:val="18"/>
              </w:rPr>
              <w:t>IG</w:t>
            </w:r>
            <w:proofErr w:type="gramStart"/>
            <w:r w:rsidRPr="0060482C">
              <w:rPr>
                <w:rFonts w:ascii="微软雅黑" w:eastAsia="微软雅黑" w:hAnsi="微软雅黑"/>
                <w:sz w:val="18"/>
                <w:szCs w:val="18"/>
              </w:rPr>
              <w:t>明确“</w:t>
            </w:r>
            <w:proofErr w:type="gramEnd"/>
            <w:r w:rsidRPr="0060482C">
              <w:rPr>
                <w:rFonts w:ascii="微软雅黑" w:eastAsia="微软雅黑" w:hAnsi="微软雅黑"/>
                <w:sz w:val="18"/>
                <w:szCs w:val="18"/>
              </w:rPr>
              <w:t>vetted/非</w:t>
            </w:r>
            <w:proofErr w:type="gramStart"/>
            <w:r w:rsidRPr="0060482C">
              <w:rPr>
                <w:rFonts w:ascii="微软雅黑" w:eastAsia="微软雅黑" w:hAnsi="微软雅黑"/>
                <w:sz w:val="18"/>
                <w:szCs w:val="18"/>
              </w:rPr>
              <w:t>vetted”差异化处理</w:t>
            </w:r>
            <w:proofErr w:type="gramEnd"/>
          </w:p>
        </w:tc>
        <w:tc>
          <w:tcPr>
            <w:tcW w:w="1725" w:type="dxa"/>
            <w:vAlign w:val="center"/>
          </w:tcPr>
          <w:p w14:paraId="37E9422D" w14:textId="07C65451" w:rsidR="0060482C" w:rsidRPr="0060482C" w:rsidRDefault="0060482C" w:rsidP="00A23829">
            <w:pPr>
              <w:rPr>
                <w:rFonts w:ascii="微软雅黑" w:eastAsia="微软雅黑" w:hAnsi="微软雅黑"/>
                <w:sz w:val="18"/>
                <w:szCs w:val="18"/>
              </w:rPr>
            </w:pPr>
            <w:r w:rsidRPr="0060482C">
              <w:rPr>
                <w:rFonts w:ascii="微软雅黑" w:eastAsia="微软雅黑" w:hAnsi="微软雅黑"/>
                <w:sz w:val="18"/>
                <w:szCs w:val="18"/>
              </w:rPr>
              <w:t>要求</w:t>
            </w:r>
            <w:proofErr w:type="gramStart"/>
            <w:r w:rsidRPr="0060482C">
              <w:rPr>
                <w:rFonts w:ascii="微软雅黑" w:eastAsia="微软雅黑" w:hAnsi="微软雅黑"/>
                <w:sz w:val="18"/>
                <w:szCs w:val="18"/>
              </w:rPr>
              <w:t>在熵源输出</w:t>
            </w:r>
            <w:proofErr w:type="gramEnd"/>
            <w:r w:rsidRPr="0060482C">
              <w:rPr>
                <w:rFonts w:ascii="微软雅黑" w:eastAsia="微软雅黑" w:hAnsi="微软雅黑"/>
                <w:sz w:val="18"/>
                <w:szCs w:val="18"/>
              </w:rPr>
              <w:t>前或</w:t>
            </w:r>
            <w:r w:rsidR="00720E3C">
              <w:rPr>
                <w:rFonts w:ascii="微软雅黑" w:eastAsia="微软雅黑" w:hAnsi="微软雅黑"/>
                <w:sz w:val="18"/>
                <w:szCs w:val="18"/>
              </w:rPr>
              <w:t>后处理</w:t>
            </w:r>
            <w:r w:rsidRPr="0060482C">
              <w:rPr>
                <w:rFonts w:ascii="微软雅黑" w:eastAsia="微软雅黑" w:hAnsi="微软雅黑"/>
                <w:sz w:val="18"/>
                <w:szCs w:val="18"/>
              </w:rPr>
              <w:t>前执行健康检测</w:t>
            </w:r>
          </w:p>
        </w:tc>
      </w:tr>
    </w:tbl>
    <w:p w14:paraId="631152F3" w14:textId="3C68034F" w:rsidR="0060482C" w:rsidRPr="0060482C" w:rsidRDefault="0060482C" w:rsidP="0060482C">
      <w:pPr>
        <w:ind w:left="432"/>
        <w:rPr>
          <w:b/>
          <w:bCs/>
        </w:rPr>
      </w:pPr>
    </w:p>
    <w:p w14:paraId="2317BFA8" w14:textId="7D27458C" w:rsidR="0002234C" w:rsidRDefault="0002234C" w:rsidP="0002234C">
      <w:pPr>
        <w:pStyle w:val="Heading1"/>
      </w:pPr>
      <w:r>
        <w:rPr>
          <w:rFonts w:hint="eastAsia"/>
        </w:rPr>
        <w:t>标准修改建议</w:t>
      </w:r>
    </w:p>
    <w:p w14:paraId="64D8DA43" w14:textId="2356DD25" w:rsidR="00EE49F0" w:rsidRPr="0044093B" w:rsidRDefault="00221559" w:rsidP="00EE49F0">
      <w:pPr>
        <w:rPr>
          <w:rFonts w:ascii="微软雅黑" w:eastAsia="微软雅黑" w:hAnsi="微软雅黑" w:hint="eastAsia"/>
          <w:sz w:val="18"/>
          <w:szCs w:val="18"/>
        </w:rPr>
      </w:pPr>
      <w:r w:rsidRPr="0044093B">
        <w:rPr>
          <w:rFonts w:ascii="微软雅黑" w:eastAsia="微软雅黑" w:hAnsi="微软雅黑" w:hint="eastAsia"/>
          <w:sz w:val="18"/>
          <w:szCs w:val="18"/>
        </w:rPr>
        <w:t>本提议修改部分全部为新增内容，为提高易读性，以下</w:t>
      </w:r>
      <w:r w:rsidR="0044093B" w:rsidRPr="0044093B">
        <w:rPr>
          <w:rFonts w:ascii="微软雅黑" w:eastAsia="微软雅黑" w:hAnsi="微软雅黑" w:hint="eastAsia"/>
          <w:sz w:val="18"/>
          <w:szCs w:val="18"/>
        </w:rPr>
        <w:t>提议中原文使用正常字体，</w:t>
      </w:r>
      <w:r w:rsidR="0044093B" w:rsidRPr="0044093B">
        <w:rPr>
          <w:rFonts w:ascii="微软雅黑" w:eastAsia="微软雅黑" w:hAnsi="微软雅黑" w:hint="eastAsia"/>
          <w:sz w:val="18"/>
          <w:szCs w:val="18"/>
        </w:rPr>
        <w:t>修改意见以</w:t>
      </w:r>
      <w:r w:rsidR="0044093B" w:rsidRPr="0044093B">
        <w:rPr>
          <w:rFonts w:ascii="微软雅黑" w:eastAsia="微软雅黑" w:hAnsi="微软雅黑" w:hint="eastAsia"/>
          <w:b/>
          <w:bCs/>
          <w:sz w:val="18"/>
          <w:szCs w:val="18"/>
          <w:highlight w:val="yellow"/>
        </w:rPr>
        <w:t>粗体高</w:t>
      </w:r>
      <w:proofErr w:type="gramStart"/>
      <w:r w:rsidR="0044093B" w:rsidRPr="0044093B">
        <w:rPr>
          <w:rFonts w:ascii="微软雅黑" w:eastAsia="微软雅黑" w:hAnsi="微软雅黑" w:hint="eastAsia"/>
          <w:b/>
          <w:bCs/>
          <w:sz w:val="18"/>
          <w:szCs w:val="18"/>
          <w:highlight w:val="yellow"/>
        </w:rPr>
        <w:t>亮</w:t>
      </w:r>
      <w:r w:rsidR="0044093B" w:rsidRPr="0044093B">
        <w:rPr>
          <w:rFonts w:ascii="微软雅黑" w:eastAsia="微软雅黑" w:hAnsi="微软雅黑" w:hint="eastAsia"/>
          <w:sz w:val="18"/>
          <w:szCs w:val="18"/>
        </w:rPr>
        <w:t>表示</w:t>
      </w:r>
      <w:proofErr w:type="gramEnd"/>
      <w:r w:rsidR="0044093B" w:rsidRPr="0044093B">
        <w:rPr>
          <w:rFonts w:ascii="微软雅黑" w:eastAsia="微软雅黑" w:hAnsi="微软雅黑" w:hint="eastAsia"/>
          <w:sz w:val="18"/>
          <w:szCs w:val="18"/>
        </w:rPr>
        <w:t>新增部分</w:t>
      </w:r>
      <w:r w:rsidR="0044093B">
        <w:rPr>
          <w:rFonts w:ascii="微软雅黑" w:eastAsia="微软雅黑" w:hAnsi="微软雅黑" w:hint="eastAsia"/>
          <w:sz w:val="18"/>
          <w:szCs w:val="18"/>
        </w:rPr>
        <w:t>。</w:t>
      </w:r>
    </w:p>
    <w:p w14:paraId="16367972" w14:textId="58536CCA" w:rsidR="0099042C" w:rsidRPr="00E335E8" w:rsidRDefault="00E335E8" w:rsidP="00E335E8">
      <w:pPr>
        <w:pStyle w:val="Heading2"/>
      </w:pPr>
      <w:r w:rsidRPr="00E335E8">
        <w:rPr>
          <w:rFonts w:hint="eastAsia"/>
        </w:rPr>
        <w:t>需求部分</w:t>
      </w:r>
    </w:p>
    <w:p w14:paraId="3E51370C" w14:textId="591BAFDC" w:rsidR="0099042C" w:rsidRPr="00EE39F0" w:rsidRDefault="0099042C" w:rsidP="00E335E8">
      <w:pPr>
        <w:rPr>
          <w:rFonts w:ascii="微软雅黑" w:eastAsia="微软雅黑" w:hAnsi="微软雅黑" w:hint="eastAsia"/>
          <w:sz w:val="18"/>
          <w:szCs w:val="18"/>
        </w:rPr>
      </w:pPr>
      <w:r w:rsidRPr="00EE39F0">
        <w:rPr>
          <w:rFonts w:ascii="微软雅黑" w:eastAsia="微软雅黑" w:hAnsi="微软雅黑" w:hint="eastAsia"/>
          <w:sz w:val="18"/>
          <w:szCs w:val="18"/>
        </w:rPr>
        <w:t>8.4.2 真随机数发生器要求</w:t>
      </w:r>
    </w:p>
    <w:p w14:paraId="4CB98F4A" w14:textId="77777777" w:rsidR="0099042C" w:rsidRPr="00EE39F0" w:rsidRDefault="0099042C" w:rsidP="00E335E8">
      <w:pPr>
        <w:rPr>
          <w:rFonts w:ascii="微软雅黑" w:eastAsia="微软雅黑" w:hAnsi="微软雅黑" w:hint="eastAsia"/>
          <w:sz w:val="18"/>
          <w:szCs w:val="18"/>
        </w:rPr>
      </w:pPr>
      <w:r w:rsidRPr="00EE39F0">
        <w:rPr>
          <w:rFonts w:ascii="微软雅黑" w:eastAsia="微软雅黑" w:hAnsi="微软雅黑" w:hint="eastAsia"/>
          <w:sz w:val="18"/>
          <w:szCs w:val="18"/>
        </w:rPr>
        <w:t>按照9.4.2进行试验，使用TRNG实现随机数生成的汽车芯片，应符合下列要求：</w:t>
      </w:r>
    </w:p>
    <w:p w14:paraId="05BAF21D" w14:textId="77777777" w:rsidR="0099042C" w:rsidRPr="00EE39F0" w:rsidRDefault="0099042C" w:rsidP="00E335E8">
      <w:pPr>
        <w:ind w:left="720"/>
        <w:rPr>
          <w:rFonts w:ascii="微软雅黑" w:eastAsia="微软雅黑" w:hAnsi="微软雅黑" w:hint="eastAsia"/>
          <w:sz w:val="18"/>
          <w:szCs w:val="18"/>
        </w:rPr>
      </w:pPr>
      <w:r w:rsidRPr="00EE39F0">
        <w:rPr>
          <w:rFonts w:ascii="微软雅黑" w:eastAsia="微软雅黑" w:hAnsi="微软雅黑" w:hint="eastAsia"/>
          <w:sz w:val="18"/>
          <w:szCs w:val="18"/>
        </w:rPr>
        <w:t xml:space="preserve">a) </w:t>
      </w:r>
      <w:proofErr w:type="gramStart"/>
      <w:r w:rsidRPr="00EE39F0">
        <w:rPr>
          <w:rFonts w:ascii="微软雅黑" w:eastAsia="微软雅黑" w:hAnsi="微软雅黑" w:hint="eastAsia"/>
          <w:sz w:val="18"/>
          <w:szCs w:val="18"/>
        </w:rPr>
        <w:t>随机源使用芯片内部物理随机源实现；</w:t>
      </w:r>
      <w:proofErr w:type="gramEnd"/>
    </w:p>
    <w:p w14:paraId="292E03D2" w14:textId="794454AF" w:rsidR="00EE39F0" w:rsidRPr="00EE39F0" w:rsidRDefault="0099042C" w:rsidP="00EE39F0">
      <w:pPr>
        <w:ind w:left="720"/>
        <w:rPr>
          <w:rFonts w:ascii="微软雅黑" w:eastAsia="微软雅黑" w:hAnsi="微软雅黑" w:hint="eastAsia"/>
          <w:sz w:val="18"/>
          <w:szCs w:val="18"/>
        </w:rPr>
      </w:pPr>
      <w:r w:rsidRPr="00EE39F0">
        <w:rPr>
          <w:rFonts w:ascii="微软雅黑" w:eastAsia="微软雅黑" w:hAnsi="微软雅黑" w:hint="eastAsia"/>
          <w:sz w:val="18"/>
          <w:szCs w:val="18"/>
        </w:rPr>
        <w:t>b) 至少有 2 个相互独立的随机源</w:t>
      </w:r>
      <w:r w:rsidR="0001508A" w:rsidRPr="00EE39F0">
        <w:rPr>
          <w:rFonts w:ascii="微软雅黑" w:eastAsia="微软雅黑" w:hAnsi="微软雅黑" w:hint="eastAsia"/>
          <w:b/>
          <w:bCs/>
          <w:sz w:val="18"/>
          <w:szCs w:val="18"/>
          <w:highlight w:val="yellow"/>
        </w:rPr>
        <w:t>或者</w:t>
      </w:r>
      <w:r w:rsidR="00EE39F0" w:rsidRPr="00EE39F0">
        <w:rPr>
          <w:rFonts w:ascii="微软雅黑" w:eastAsia="微软雅黑" w:hAnsi="微软雅黑" w:hint="eastAsia"/>
          <w:b/>
          <w:bCs/>
          <w:sz w:val="18"/>
          <w:szCs w:val="18"/>
          <w:highlight w:val="yellow"/>
        </w:rPr>
        <w:t>支持物理随机源健康检测</w:t>
      </w:r>
    </w:p>
    <w:p w14:paraId="65555472" w14:textId="286D5AA2" w:rsidR="00EE39F0" w:rsidRPr="0044093B" w:rsidRDefault="00EE39F0" w:rsidP="00EE39F0">
      <w:pPr>
        <w:ind w:left="142" w:firstLine="578"/>
        <w:rPr>
          <w:rFonts w:ascii="微软雅黑" w:eastAsia="微软雅黑" w:hAnsi="微软雅黑" w:hint="eastAsia"/>
          <w:b/>
          <w:bCs/>
          <w:sz w:val="18"/>
          <w:szCs w:val="18"/>
        </w:rPr>
      </w:pPr>
      <w:r w:rsidRPr="0044093B">
        <w:rPr>
          <w:rFonts w:ascii="微软雅黑" w:eastAsia="微软雅黑" w:hAnsi="微软雅黑" w:hint="eastAsia"/>
          <w:b/>
          <w:bCs/>
          <w:sz w:val="18"/>
          <w:szCs w:val="18"/>
          <w:highlight w:val="yellow"/>
        </w:rPr>
        <w:lastRenderedPageBreak/>
        <w:t>注： 物理随机</w:t>
      </w:r>
      <w:proofErr w:type="gramStart"/>
      <w:r w:rsidRPr="0044093B">
        <w:rPr>
          <w:rFonts w:ascii="微软雅黑" w:eastAsia="微软雅黑" w:hAnsi="微软雅黑" w:hint="eastAsia"/>
          <w:b/>
          <w:bCs/>
          <w:sz w:val="18"/>
          <w:szCs w:val="18"/>
          <w:highlight w:val="yellow"/>
        </w:rPr>
        <w:t>源健康</w:t>
      </w:r>
      <w:proofErr w:type="gramEnd"/>
      <w:r w:rsidRPr="0044093B">
        <w:rPr>
          <w:rFonts w:ascii="微软雅黑" w:eastAsia="微软雅黑" w:hAnsi="微软雅黑" w:hint="eastAsia"/>
          <w:b/>
          <w:bCs/>
          <w:sz w:val="18"/>
          <w:szCs w:val="18"/>
          <w:highlight w:val="yellow"/>
        </w:rPr>
        <w:t>检测可参考NIST FIPS 800-90B，或AIS 31中的相关要求</w:t>
      </w:r>
    </w:p>
    <w:p w14:paraId="71C4AD3F" w14:textId="4B266E2F" w:rsidR="00131B5E" w:rsidRDefault="00EE39F0" w:rsidP="00131B5E">
      <w:pPr>
        <w:pStyle w:val="Heading2"/>
      </w:pPr>
      <w:r w:rsidRPr="00EE39F0">
        <w:rPr>
          <w:rFonts w:hint="eastAsia"/>
        </w:rPr>
        <w:t>测试方法内容</w:t>
      </w:r>
    </w:p>
    <w:p w14:paraId="4E6DAE1A" w14:textId="77777777" w:rsidR="00012EFE" w:rsidRDefault="00012EFE" w:rsidP="00EE39F0">
      <w:pPr>
        <w:ind w:left="142"/>
        <w:rPr>
          <w:rFonts w:ascii="微软雅黑" w:eastAsia="微软雅黑" w:hAnsi="微软雅黑"/>
          <w:sz w:val="18"/>
          <w:szCs w:val="18"/>
        </w:rPr>
      </w:pPr>
    </w:p>
    <w:p w14:paraId="15958C5B" w14:textId="79609ECD" w:rsidR="00EE39F0" w:rsidRPr="00D42124" w:rsidRDefault="00012EFE" w:rsidP="00012EFE">
      <w:pPr>
        <w:ind w:left="142"/>
        <w:rPr>
          <w:rFonts w:ascii="微软雅黑" w:eastAsia="微软雅黑" w:hAnsi="微软雅黑" w:hint="eastAsia"/>
          <w:b/>
          <w:bCs/>
          <w:sz w:val="18"/>
          <w:szCs w:val="18"/>
          <w:highlight w:val="yellow"/>
        </w:rPr>
      </w:pPr>
      <w:r w:rsidRPr="00012EFE">
        <w:rPr>
          <w:rFonts w:ascii="微软雅黑" w:eastAsia="微软雅黑" w:hAnsi="微软雅黑" w:hint="eastAsia"/>
          <w:sz w:val="18"/>
          <w:szCs w:val="18"/>
        </w:rPr>
        <w:t xml:space="preserve">9.4.3.2 </w:t>
      </w:r>
      <w:r w:rsidRPr="00012EFE">
        <w:rPr>
          <w:rFonts w:ascii="微软雅黑" w:eastAsia="微软雅黑" w:hAnsi="微软雅黑" w:hint="eastAsia"/>
          <w:b/>
          <w:bCs/>
          <w:sz w:val="18"/>
          <w:szCs w:val="18"/>
          <w:highlight w:val="yellow"/>
        </w:rPr>
        <w:t>若支持至少2个随机源，</w:t>
      </w:r>
      <w:r w:rsidRPr="00012EFE">
        <w:rPr>
          <w:rFonts w:ascii="微软雅黑" w:eastAsia="微软雅黑" w:hAnsi="微软雅黑" w:hint="eastAsia"/>
          <w:sz w:val="18"/>
          <w:szCs w:val="18"/>
        </w:rPr>
        <w:t>检查并记录汽车芯片所支持的相互独立的物理随机源个数。</w:t>
      </w:r>
      <w:r w:rsidRPr="00D42124">
        <w:rPr>
          <w:rFonts w:ascii="微软雅黑" w:eastAsia="微软雅黑" w:hAnsi="微软雅黑" w:hint="eastAsia"/>
          <w:b/>
          <w:bCs/>
          <w:sz w:val="18"/>
          <w:szCs w:val="18"/>
          <w:highlight w:val="yellow"/>
        </w:rPr>
        <w:t>若</w:t>
      </w:r>
      <w:r w:rsidRPr="00EE39F0">
        <w:rPr>
          <w:rFonts w:ascii="微软雅黑" w:eastAsia="微软雅黑" w:hAnsi="微软雅黑" w:hint="eastAsia"/>
          <w:b/>
          <w:bCs/>
          <w:sz w:val="18"/>
          <w:szCs w:val="18"/>
          <w:highlight w:val="yellow"/>
        </w:rPr>
        <w:t>支持物理随机源健康检测</w:t>
      </w:r>
      <w:r w:rsidR="009A2597">
        <w:rPr>
          <w:rFonts w:ascii="微软雅黑" w:eastAsia="微软雅黑" w:hAnsi="微软雅黑" w:hint="eastAsia"/>
          <w:b/>
          <w:bCs/>
          <w:sz w:val="18"/>
          <w:szCs w:val="18"/>
          <w:highlight w:val="yellow"/>
        </w:rPr>
        <w:t>，</w:t>
      </w:r>
      <w:r w:rsidR="00EE39F0" w:rsidRPr="00D42124">
        <w:rPr>
          <w:rFonts w:ascii="微软雅黑" w:eastAsia="微软雅黑" w:hAnsi="微软雅黑" w:hint="eastAsia"/>
          <w:b/>
          <w:bCs/>
          <w:sz w:val="18"/>
          <w:szCs w:val="18"/>
          <w:highlight w:val="yellow"/>
        </w:rPr>
        <w:t>审核</w:t>
      </w:r>
      <w:r w:rsidR="009A2597">
        <w:rPr>
          <w:rFonts w:ascii="微软雅黑" w:eastAsia="微软雅黑" w:hAnsi="微软雅黑" w:hint="eastAsia"/>
          <w:b/>
          <w:bCs/>
          <w:sz w:val="18"/>
          <w:szCs w:val="18"/>
          <w:highlight w:val="yellow"/>
        </w:rPr>
        <w:t>并记录</w:t>
      </w:r>
      <w:r w:rsidR="00EE39F0" w:rsidRPr="00D42124">
        <w:rPr>
          <w:rFonts w:ascii="微软雅黑" w:eastAsia="微软雅黑" w:hAnsi="微软雅黑" w:hint="eastAsia"/>
          <w:b/>
          <w:bCs/>
          <w:sz w:val="18"/>
          <w:szCs w:val="18"/>
          <w:highlight w:val="yellow"/>
        </w:rPr>
        <w:t>随机数发生器健康检测部分的设计</w:t>
      </w:r>
      <w:r w:rsidR="00D42124" w:rsidRPr="00D42124">
        <w:rPr>
          <w:rFonts w:ascii="微软雅黑" w:eastAsia="微软雅黑" w:hAnsi="微软雅黑" w:hint="eastAsia"/>
          <w:b/>
          <w:bCs/>
          <w:sz w:val="18"/>
          <w:szCs w:val="18"/>
          <w:highlight w:val="yellow"/>
        </w:rPr>
        <w:t>文档</w:t>
      </w:r>
      <w:r w:rsidR="00EE39F0" w:rsidRPr="00D42124">
        <w:rPr>
          <w:rFonts w:ascii="微软雅黑" w:eastAsia="微软雅黑" w:hAnsi="微软雅黑" w:hint="eastAsia"/>
          <w:b/>
          <w:bCs/>
          <w:sz w:val="18"/>
          <w:szCs w:val="18"/>
          <w:highlight w:val="yellow"/>
        </w:rPr>
        <w:t>，验证健康检测功能的输出。</w:t>
      </w:r>
    </w:p>
    <w:p w14:paraId="26775EA6" w14:textId="77777777" w:rsidR="00EE39F0" w:rsidRPr="00E335E8" w:rsidRDefault="00EE39F0" w:rsidP="00E335E8">
      <w:pPr>
        <w:ind w:left="720"/>
        <w:rPr>
          <w:rFonts w:hint="eastAsia"/>
          <w:sz w:val="18"/>
          <w:szCs w:val="18"/>
        </w:rPr>
      </w:pPr>
    </w:p>
    <w:p w14:paraId="04D113C1" w14:textId="35F6F146" w:rsidR="0002234C" w:rsidRDefault="0002234C" w:rsidP="0002234C">
      <w:pPr>
        <w:pStyle w:val="Heading1"/>
      </w:pPr>
      <w:r>
        <w:rPr>
          <w:rFonts w:hint="eastAsia"/>
        </w:rPr>
        <w:t>测试审核通过规则建议（非标准化部分）</w:t>
      </w:r>
    </w:p>
    <w:p w14:paraId="020E9C26" w14:textId="4AA657BE" w:rsidR="00D42124" w:rsidRDefault="004B7700" w:rsidP="00D42124">
      <w:pPr>
        <w:pStyle w:val="Heading2"/>
      </w:pPr>
      <w:r>
        <w:rPr>
          <w:rFonts w:hint="eastAsia"/>
        </w:rPr>
        <w:t>检测方法</w:t>
      </w:r>
      <w:r w:rsidR="00D42124">
        <w:rPr>
          <w:rFonts w:hint="eastAsia"/>
        </w:rPr>
        <w:t>说明</w:t>
      </w:r>
    </w:p>
    <w:p w14:paraId="602399B5" w14:textId="28C15D09" w:rsidR="004B7700" w:rsidRDefault="008D5B8B" w:rsidP="008D5B8B">
      <w:pPr>
        <w:ind w:left="142"/>
        <w:rPr>
          <w:rFonts w:ascii="微软雅黑" w:eastAsia="微软雅黑" w:hAnsi="微软雅黑"/>
          <w:sz w:val="18"/>
          <w:szCs w:val="18"/>
        </w:rPr>
      </w:pPr>
      <w:r w:rsidRPr="00EE39F0">
        <w:rPr>
          <w:rFonts w:ascii="微软雅黑" w:eastAsia="微软雅黑" w:hAnsi="微软雅黑" w:hint="eastAsia"/>
          <w:sz w:val="18"/>
          <w:szCs w:val="18"/>
        </w:rPr>
        <w:t>检测方法部分的说明，</w:t>
      </w:r>
      <w:r w:rsidR="004B7700">
        <w:rPr>
          <w:rFonts w:ascii="微软雅黑" w:eastAsia="微软雅黑" w:hAnsi="微软雅黑" w:hint="eastAsia"/>
          <w:sz w:val="18"/>
          <w:szCs w:val="18"/>
        </w:rPr>
        <w:t>供测试实验室参考。由于检测方法描述粒度需要与全文保持一致，以下内容</w:t>
      </w:r>
      <w:r w:rsidRPr="00EE39F0">
        <w:rPr>
          <w:rFonts w:ascii="微软雅黑" w:eastAsia="微软雅黑" w:hAnsi="微软雅黑" w:hint="eastAsia"/>
          <w:sz w:val="18"/>
          <w:szCs w:val="18"/>
        </w:rPr>
        <w:t>不写到正文中：</w:t>
      </w:r>
    </w:p>
    <w:p w14:paraId="53FCDE14" w14:textId="38EB57FC" w:rsidR="004B7700" w:rsidRPr="004B7700" w:rsidRDefault="008D5B8B" w:rsidP="004B7700">
      <w:pPr>
        <w:pStyle w:val="ListParagraph"/>
        <w:numPr>
          <w:ilvl w:val="0"/>
          <w:numId w:val="5"/>
        </w:numPr>
        <w:rPr>
          <w:rFonts w:ascii="微软雅黑" w:eastAsia="微软雅黑" w:hAnsi="微软雅黑"/>
          <w:sz w:val="18"/>
          <w:szCs w:val="18"/>
        </w:rPr>
      </w:pPr>
      <w:r w:rsidRPr="004B7700">
        <w:rPr>
          <w:rFonts w:ascii="微软雅黑" w:eastAsia="微软雅黑" w:hAnsi="微软雅黑" w:hint="eastAsia"/>
          <w:sz w:val="18"/>
          <w:szCs w:val="18"/>
        </w:rPr>
        <w:t xml:space="preserve">验证是否有健康检测功能 </w:t>
      </w:r>
    </w:p>
    <w:p w14:paraId="0D9B7EEF" w14:textId="27D9560B" w:rsidR="004B7700" w:rsidRPr="004B7700" w:rsidRDefault="008D5B8B" w:rsidP="004B7700">
      <w:pPr>
        <w:pStyle w:val="ListParagraph"/>
        <w:numPr>
          <w:ilvl w:val="0"/>
          <w:numId w:val="5"/>
        </w:numPr>
        <w:rPr>
          <w:rFonts w:ascii="微软雅黑" w:eastAsia="微软雅黑" w:hAnsi="微软雅黑"/>
          <w:sz w:val="18"/>
          <w:szCs w:val="18"/>
        </w:rPr>
      </w:pPr>
      <w:r w:rsidRPr="004B7700">
        <w:rPr>
          <w:rFonts w:ascii="微软雅黑" w:eastAsia="微软雅黑" w:hAnsi="微软雅黑" w:hint="eastAsia"/>
          <w:sz w:val="18"/>
          <w:szCs w:val="18"/>
        </w:rPr>
        <w:t xml:space="preserve">审核健康检测的设计方法是否合理 </w:t>
      </w:r>
    </w:p>
    <w:p w14:paraId="2AB19190" w14:textId="496B2AB7" w:rsidR="004B7700" w:rsidRPr="004B7700" w:rsidRDefault="008D5B8B" w:rsidP="004B7700">
      <w:pPr>
        <w:pStyle w:val="ListParagraph"/>
        <w:numPr>
          <w:ilvl w:val="0"/>
          <w:numId w:val="5"/>
        </w:numPr>
        <w:rPr>
          <w:rFonts w:ascii="微软雅黑" w:eastAsia="微软雅黑" w:hAnsi="微软雅黑"/>
          <w:sz w:val="18"/>
          <w:szCs w:val="18"/>
        </w:rPr>
      </w:pPr>
      <w:r w:rsidRPr="004B7700">
        <w:rPr>
          <w:rFonts w:ascii="微软雅黑" w:eastAsia="微软雅黑" w:hAnsi="微软雅黑" w:hint="eastAsia"/>
          <w:sz w:val="18"/>
          <w:szCs w:val="18"/>
        </w:rPr>
        <w:t xml:space="preserve">审核健康检测设计的输入输出和触发条件 </w:t>
      </w:r>
    </w:p>
    <w:p w14:paraId="5CAE97E0" w14:textId="4E601E20" w:rsidR="004B7700" w:rsidRPr="004B7700" w:rsidRDefault="008D5B8B" w:rsidP="004B7700">
      <w:pPr>
        <w:pStyle w:val="ListParagraph"/>
        <w:numPr>
          <w:ilvl w:val="0"/>
          <w:numId w:val="5"/>
        </w:numPr>
        <w:rPr>
          <w:rFonts w:ascii="微软雅黑" w:eastAsia="微软雅黑" w:hAnsi="微软雅黑"/>
          <w:sz w:val="18"/>
          <w:szCs w:val="18"/>
        </w:rPr>
      </w:pPr>
      <w:r w:rsidRPr="004B7700">
        <w:rPr>
          <w:rFonts w:ascii="微软雅黑" w:eastAsia="微软雅黑" w:hAnsi="微软雅黑" w:hint="eastAsia"/>
          <w:sz w:val="18"/>
          <w:szCs w:val="18"/>
        </w:rPr>
        <w:t xml:space="preserve">审核设计验证过程对健康检测部分的验证结果，包括正向（健康）和反向（不健康）情况，由于非健康模式很难触发，这部分可以通过审核展示仿真结果。 </w:t>
      </w:r>
    </w:p>
    <w:p w14:paraId="36D5CA71" w14:textId="4140AD1C" w:rsidR="004B7700" w:rsidRPr="004B7700" w:rsidRDefault="008D5B8B" w:rsidP="004B7700">
      <w:pPr>
        <w:pStyle w:val="ListParagraph"/>
        <w:numPr>
          <w:ilvl w:val="0"/>
          <w:numId w:val="5"/>
        </w:numPr>
        <w:rPr>
          <w:rFonts w:ascii="微软雅黑" w:eastAsia="微软雅黑" w:hAnsi="微软雅黑"/>
          <w:sz w:val="18"/>
          <w:szCs w:val="18"/>
        </w:rPr>
      </w:pPr>
      <w:r w:rsidRPr="004B7700">
        <w:rPr>
          <w:rFonts w:ascii="微软雅黑" w:eastAsia="微软雅黑" w:hAnsi="微软雅黑" w:hint="eastAsia"/>
          <w:sz w:val="18"/>
          <w:szCs w:val="18"/>
        </w:rPr>
        <w:t>测试验证在正常状态下，健康检测的结果输出为“正常”</w:t>
      </w:r>
    </w:p>
    <w:p w14:paraId="3EB7EA12" w14:textId="3E142C67" w:rsidR="008D5B8B" w:rsidRDefault="008D5B8B" w:rsidP="004B7700">
      <w:pPr>
        <w:pStyle w:val="ListParagraph"/>
        <w:numPr>
          <w:ilvl w:val="0"/>
          <w:numId w:val="5"/>
        </w:numPr>
        <w:rPr>
          <w:rFonts w:ascii="微软雅黑" w:eastAsia="微软雅黑" w:hAnsi="微软雅黑"/>
          <w:sz w:val="18"/>
          <w:szCs w:val="18"/>
        </w:rPr>
      </w:pPr>
      <w:r w:rsidRPr="004B7700">
        <w:rPr>
          <w:rFonts w:ascii="微软雅黑" w:eastAsia="微软雅黑" w:hAnsi="微软雅黑" w:hint="eastAsia"/>
          <w:sz w:val="18"/>
          <w:szCs w:val="18"/>
        </w:rPr>
        <w:t>检测健康检测结果为“正常”时，随机数可以正常输出。</w:t>
      </w:r>
    </w:p>
    <w:p w14:paraId="2DA2E2BA" w14:textId="33CAD8C8" w:rsidR="004B7700" w:rsidRDefault="004B7700" w:rsidP="004B7700">
      <w:pPr>
        <w:pStyle w:val="Heading2"/>
      </w:pPr>
      <w:r>
        <w:rPr>
          <w:rFonts w:hint="eastAsia"/>
        </w:rPr>
        <w:t>设计方法验证条件</w:t>
      </w:r>
    </w:p>
    <w:p w14:paraId="6808E225" w14:textId="15EF8D8B" w:rsidR="004B7700" w:rsidRDefault="00796337" w:rsidP="004B7700">
      <w:pPr>
        <w:rPr>
          <w:rFonts w:ascii="微软雅黑" w:eastAsia="微软雅黑" w:hAnsi="微软雅黑"/>
          <w:sz w:val="18"/>
          <w:szCs w:val="18"/>
        </w:rPr>
      </w:pPr>
      <w:r>
        <w:rPr>
          <w:rFonts w:ascii="微软雅黑" w:eastAsia="微软雅黑" w:hAnsi="微软雅黑" w:hint="eastAsia"/>
          <w:sz w:val="18"/>
          <w:szCs w:val="18"/>
        </w:rPr>
        <w:t>对于</w:t>
      </w:r>
      <w:r w:rsidRPr="00C54606">
        <w:rPr>
          <w:rFonts w:ascii="微软雅黑" w:eastAsia="微软雅黑" w:hAnsi="微软雅黑" w:hint="eastAsia"/>
          <w:b/>
          <w:bCs/>
          <w:sz w:val="18"/>
          <w:szCs w:val="18"/>
          <w:highlight w:val="yellow"/>
        </w:rPr>
        <w:t>3.1</w:t>
      </w:r>
      <w:r>
        <w:rPr>
          <w:rFonts w:ascii="微软雅黑" w:eastAsia="微软雅黑" w:hAnsi="微软雅黑" w:hint="eastAsia"/>
          <w:sz w:val="18"/>
          <w:szCs w:val="18"/>
        </w:rPr>
        <w:t>说明的第</w:t>
      </w:r>
      <w:r w:rsidRPr="00334558">
        <w:rPr>
          <w:rFonts w:ascii="微软雅黑" w:eastAsia="微软雅黑" w:hAnsi="微软雅黑" w:hint="eastAsia"/>
          <w:b/>
          <w:bCs/>
          <w:sz w:val="18"/>
          <w:szCs w:val="18"/>
          <w:highlight w:val="yellow"/>
          <w:u w:val="single"/>
        </w:rPr>
        <w:t>2</w:t>
      </w:r>
      <w:r>
        <w:rPr>
          <w:rFonts w:ascii="微软雅黑" w:eastAsia="微软雅黑" w:hAnsi="微软雅黑" w:hint="eastAsia"/>
          <w:sz w:val="18"/>
          <w:szCs w:val="18"/>
        </w:rPr>
        <w:t>条，专家提出的“</w:t>
      </w:r>
      <w:r w:rsidRPr="00334558">
        <w:rPr>
          <w:rFonts w:ascii="微软雅黑" w:eastAsia="微软雅黑" w:hAnsi="微软雅黑" w:hint="eastAsia"/>
          <w:sz w:val="18"/>
          <w:szCs w:val="18"/>
          <w:highlight w:val="yellow"/>
        </w:rPr>
        <w:t>检测审核条件不明确</w:t>
      </w:r>
      <w:r>
        <w:rPr>
          <w:rFonts w:ascii="微软雅黑" w:eastAsia="微软雅黑" w:hAnsi="微软雅黑" w:hint="eastAsia"/>
          <w:sz w:val="18"/>
          <w:szCs w:val="18"/>
        </w:rPr>
        <w:t>”，</w:t>
      </w:r>
      <w:r w:rsidR="00334558">
        <w:rPr>
          <w:rFonts w:ascii="微软雅黑" w:eastAsia="微软雅黑" w:hAnsi="微软雅黑" w:hint="eastAsia"/>
          <w:sz w:val="18"/>
          <w:szCs w:val="18"/>
        </w:rPr>
        <w:t>以及担忧过于简单的健康检测，</w:t>
      </w:r>
      <w:r>
        <w:rPr>
          <w:rFonts w:ascii="微软雅黑" w:eastAsia="微软雅黑" w:hAnsi="微软雅黑" w:hint="eastAsia"/>
          <w:sz w:val="18"/>
          <w:szCs w:val="18"/>
        </w:rPr>
        <w:t>补充如下</w:t>
      </w:r>
      <w:r w:rsidR="00C03247">
        <w:rPr>
          <w:rFonts w:ascii="微软雅黑" w:eastAsia="微软雅黑" w:hAnsi="微软雅黑" w:hint="eastAsia"/>
          <w:sz w:val="18"/>
          <w:szCs w:val="18"/>
        </w:rPr>
        <w:t>内容。</w:t>
      </w:r>
      <w:r w:rsidR="00334558">
        <w:rPr>
          <w:rFonts w:ascii="微软雅黑" w:eastAsia="微软雅黑" w:hAnsi="微软雅黑" w:hint="eastAsia"/>
          <w:sz w:val="18"/>
          <w:szCs w:val="18"/>
        </w:rPr>
        <w:t>以下所述的内容大部分来自对各个国内国际标准的分析总结。</w:t>
      </w:r>
    </w:p>
    <w:p w14:paraId="1CE0E5BB" w14:textId="0EBFBEB6" w:rsidR="00796337" w:rsidRDefault="00C03247" w:rsidP="004B7700">
      <w:pPr>
        <w:rPr>
          <w:rFonts w:ascii="微软雅黑" w:eastAsia="微软雅黑" w:hAnsi="微软雅黑"/>
          <w:sz w:val="18"/>
          <w:szCs w:val="18"/>
        </w:rPr>
      </w:pPr>
      <w:r>
        <w:rPr>
          <w:rFonts w:ascii="微软雅黑" w:eastAsia="微软雅黑" w:hAnsi="微软雅黑" w:hint="eastAsia"/>
          <w:sz w:val="18"/>
          <w:szCs w:val="18"/>
        </w:rPr>
        <w:t>审核健康检测设计文档要求如下</w:t>
      </w:r>
      <w:r w:rsidR="00676A7C">
        <w:rPr>
          <w:rFonts w:ascii="微软雅黑" w:eastAsia="微软雅黑" w:hAnsi="微软雅黑" w:hint="eastAsia"/>
          <w:sz w:val="18"/>
          <w:szCs w:val="18"/>
        </w:rPr>
        <w:t>：</w:t>
      </w:r>
    </w:p>
    <w:p w14:paraId="749DFA97" w14:textId="77777777" w:rsidR="00C03247" w:rsidRPr="00C03247" w:rsidRDefault="00C03247" w:rsidP="00C03247">
      <w:pPr>
        <w:numPr>
          <w:ilvl w:val="0"/>
          <w:numId w:val="7"/>
        </w:numPr>
        <w:rPr>
          <w:rFonts w:ascii="微软雅黑" w:eastAsia="微软雅黑" w:hAnsi="微软雅黑"/>
          <w:sz w:val="18"/>
          <w:szCs w:val="18"/>
        </w:rPr>
      </w:pPr>
      <w:r w:rsidRPr="00C03247">
        <w:rPr>
          <w:rFonts w:ascii="微软雅黑" w:eastAsia="微软雅黑" w:hAnsi="微软雅黑"/>
          <w:b/>
          <w:bCs/>
          <w:sz w:val="18"/>
          <w:szCs w:val="18"/>
        </w:rPr>
        <w:t>初始化与在线检测</w:t>
      </w:r>
    </w:p>
    <w:p w14:paraId="6BA36B90" w14:textId="77777777" w:rsidR="00C03247" w:rsidRPr="00C03247" w:rsidRDefault="00C03247" w:rsidP="00C03247">
      <w:pPr>
        <w:ind w:firstLine="720"/>
        <w:rPr>
          <w:rFonts w:ascii="微软雅黑" w:eastAsia="微软雅黑" w:hAnsi="微软雅黑"/>
          <w:sz w:val="18"/>
          <w:szCs w:val="18"/>
        </w:rPr>
      </w:pPr>
      <w:r w:rsidRPr="00C03247">
        <w:rPr>
          <w:rFonts w:ascii="微软雅黑" w:eastAsia="微软雅黑" w:hAnsi="微软雅黑"/>
          <w:sz w:val="18"/>
          <w:szCs w:val="18"/>
        </w:rPr>
        <w:t>支持在系统初始化阶段进行健康检测，并在运行过程中提供在线健康检测功能。</w:t>
      </w:r>
    </w:p>
    <w:p w14:paraId="77626520" w14:textId="275F5154" w:rsidR="00C03247" w:rsidRPr="00C03247" w:rsidRDefault="00C03247" w:rsidP="00C03247">
      <w:pPr>
        <w:numPr>
          <w:ilvl w:val="0"/>
          <w:numId w:val="7"/>
        </w:numPr>
        <w:rPr>
          <w:rFonts w:ascii="微软雅黑" w:eastAsia="微软雅黑" w:hAnsi="微软雅黑"/>
          <w:sz w:val="18"/>
          <w:szCs w:val="18"/>
        </w:rPr>
      </w:pPr>
      <w:r w:rsidRPr="00C03247">
        <w:rPr>
          <w:rFonts w:ascii="微软雅黑" w:eastAsia="微软雅黑" w:hAnsi="微软雅黑"/>
          <w:b/>
          <w:bCs/>
          <w:sz w:val="18"/>
          <w:szCs w:val="18"/>
        </w:rPr>
        <w:t>部分失效场景检测</w:t>
      </w:r>
      <w:r w:rsidRPr="00C03247">
        <w:rPr>
          <w:rFonts w:ascii="微软雅黑" w:eastAsia="微软雅黑" w:hAnsi="微软雅黑"/>
          <w:sz w:val="18"/>
          <w:szCs w:val="18"/>
        </w:rPr>
        <w:br/>
        <w:t>能够覆盖典型的部分失效场景，</w:t>
      </w:r>
      <w:r w:rsidR="00676A7C">
        <w:rPr>
          <w:rFonts w:ascii="微软雅黑" w:eastAsia="微软雅黑" w:hAnsi="微软雅黑" w:hint="eastAsia"/>
          <w:sz w:val="18"/>
          <w:szCs w:val="18"/>
        </w:rPr>
        <w:t>采用的检测技术</w:t>
      </w:r>
      <w:r w:rsidRPr="00C03247">
        <w:rPr>
          <w:rFonts w:ascii="微软雅黑" w:eastAsia="微软雅黑" w:hAnsi="微软雅黑"/>
          <w:sz w:val="18"/>
          <w:szCs w:val="18"/>
        </w:rPr>
        <w:t>包括但不限于：</w:t>
      </w:r>
    </w:p>
    <w:p w14:paraId="14CE7989" w14:textId="77777777" w:rsidR="00C03247" w:rsidRPr="00C03247" w:rsidRDefault="00C03247" w:rsidP="00C03247">
      <w:pPr>
        <w:numPr>
          <w:ilvl w:val="1"/>
          <w:numId w:val="7"/>
        </w:numPr>
        <w:rPr>
          <w:rFonts w:ascii="微软雅黑" w:eastAsia="微软雅黑" w:hAnsi="微软雅黑"/>
          <w:sz w:val="18"/>
          <w:szCs w:val="18"/>
        </w:rPr>
      </w:pPr>
      <w:r w:rsidRPr="00C03247">
        <w:rPr>
          <w:rFonts w:ascii="微软雅黑" w:eastAsia="微软雅黑" w:hAnsi="微软雅黑"/>
          <w:sz w:val="18"/>
          <w:szCs w:val="18"/>
        </w:rPr>
        <w:t>重复计数测试（RCT）；</w:t>
      </w:r>
    </w:p>
    <w:p w14:paraId="50192874" w14:textId="77777777" w:rsidR="00C03247" w:rsidRPr="00C03247" w:rsidRDefault="00C03247" w:rsidP="00C03247">
      <w:pPr>
        <w:numPr>
          <w:ilvl w:val="1"/>
          <w:numId w:val="7"/>
        </w:numPr>
        <w:rPr>
          <w:rFonts w:ascii="微软雅黑" w:eastAsia="微软雅黑" w:hAnsi="微软雅黑"/>
          <w:sz w:val="18"/>
          <w:szCs w:val="18"/>
        </w:rPr>
      </w:pPr>
      <w:r w:rsidRPr="00C03247">
        <w:rPr>
          <w:rFonts w:ascii="微软雅黑" w:eastAsia="微软雅黑" w:hAnsi="微软雅黑"/>
          <w:sz w:val="18"/>
          <w:szCs w:val="18"/>
        </w:rPr>
        <w:t>自适应比例测试（APT）；</w:t>
      </w:r>
    </w:p>
    <w:p w14:paraId="7031C001" w14:textId="77777777" w:rsidR="00C03247" w:rsidRPr="00C03247" w:rsidRDefault="00C03247" w:rsidP="00C03247">
      <w:pPr>
        <w:numPr>
          <w:ilvl w:val="1"/>
          <w:numId w:val="7"/>
        </w:numPr>
        <w:rPr>
          <w:rFonts w:ascii="微软雅黑" w:eastAsia="微软雅黑" w:hAnsi="微软雅黑"/>
          <w:sz w:val="18"/>
          <w:szCs w:val="18"/>
        </w:rPr>
      </w:pPr>
      <w:r w:rsidRPr="00C03247">
        <w:rPr>
          <w:rFonts w:ascii="微软雅黑" w:eastAsia="微软雅黑" w:hAnsi="微软雅黑"/>
          <w:sz w:val="18"/>
          <w:szCs w:val="18"/>
        </w:rPr>
        <w:t>整体失效场景检测（全0或全1检测）；</w:t>
      </w:r>
    </w:p>
    <w:p w14:paraId="3F9FECB6" w14:textId="65EC28AA" w:rsidR="00C03247" w:rsidRPr="00C03247" w:rsidRDefault="00C03247" w:rsidP="00C03247">
      <w:pPr>
        <w:numPr>
          <w:ilvl w:val="1"/>
          <w:numId w:val="7"/>
        </w:numPr>
        <w:rPr>
          <w:rFonts w:ascii="微软雅黑" w:eastAsia="微软雅黑" w:hAnsi="微软雅黑"/>
          <w:sz w:val="18"/>
          <w:szCs w:val="18"/>
        </w:rPr>
      </w:pPr>
      <w:r w:rsidRPr="00C03247">
        <w:rPr>
          <w:rFonts w:ascii="微软雅黑" w:eastAsia="微软雅黑" w:hAnsi="微软雅黑"/>
          <w:sz w:val="18"/>
          <w:szCs w:val="18"/>
        </w:rPr>
        <w:lastRenderedPageBreak/>
        <w:t>单个或多个振荡器失效等</w:t>
      </w:r>
      <w:r w:rsidR="00676A7C">
        <w:rPr>
          <w:rFonts w:ascii="微软雅黑" w:eastAsia="微软雅黑" w:hAnsi="微软雅黑" w:hint="eastAsia"/>
          <w:sz w:val="18"/>
          <w:szCs w:val="18"/>
        </w:rPr>
        <w:t>（例如，在一定时间段内输出全1 或全0</w:t>
      </w:r>
      <w:r w:rsidR="00EE49F0">
        <w:rPr>
          <w:rFonts w:ascii="微软雅黑" w:eastAsia="微软雅黑" w:hAnsi="微软雅黑" w:hint="eastAsia"/>
          <w:sz w:val="18"/>
          <w:szCs w:val="18"/>
        </w:rPr>
        <w:t>不变可认为次振荡器随机性失效）</w:t>
      </w:r>
    </w:p>
    <w:p w14:paraId="7548CFD1" w14:textId="483C29D9" w:rsidR="00C03247" w:rsidRPr="00C03247" w:rsidRDefault="00C03247" w:rsidP="00C03247">
      <w:pPr>
        <w:numPr>
          <w:ilvl w:val="0"/>
          <w:numId w:val="7"/>
        </w:numPr>
        <w:rPr>
          <w:rFonts w:ascii="微软雅黑" w:eastAsia="微软雅黑" w:hAnsi="微软雅黑"/>
          <w:sz w:val="18"/>
          <w:szCs w:val="18"/>
        </w:rPr>
      </w:pPr>
      <w:r w:rsidRPr="00C03247">
        <w:rPr>
          <w:rFonts w:ascii="微软雅黑" w:eastAsia="微软雅黑" w:hAnsi="微软雅黑"/>
          <w:b/>
          <w:bCs/>
          <w:sz w:val="18"/>
          <w:szCs w:val="18"/>
        </w:rPr>
        <w:t>失效指示输出</w:t>
      </w:r>
      <w:r w:rsidRPr="00C03247">
        <w:rPr>
          <w:rFonts w:ascii="微软雅黑" w:eastAsia="微软雅黑" w:hAnsi="微软雅黑"/>
          <w:sz w:val="18"/>
          <w:szCs w:val="18"/>
        </w:rPr>
        <w:br/>
        <w:t>提供失效指示输出。</w:t>
      </w:r>
    </w:p>
    <w:p w14:paraId="05596CA1" w14:textId="77777777" w:rsidR="00C03247" w:rsidRPr="00C03247" w:rsidRDefault="00C03247" w:rsidP="00C03247">
      <w:pPr>
        <w:numPr>
          <w:ilvl w:val="0"/>
          <w:numId w:val="7"/>
        </w:numPr>
        <w:rPr>
          <w:rFonts w:ascii="微软雅黑" w:eastAsia="微软雅黑" w:hAnsi="微软雅黑"/>
          <w:sz w:val="18"/>
          <w:szCs w:val="18"/>
        </w:rPr>
      </w:pPr>
      <w:r w:rsidRPr="00C03247">
        <w:rPr>
          <w:rFonts w:ascii="微软雅黑" w:eastAsia="微软雅黑" w:hAnsi="微软雅黑"/>
          <w:b/>
          <w:bCs/>
          <w:sz w:val="18"/>
          <w:szCs w:val="18"/>
        </w:rPr>
        <w:t>失效处理策略</w:t>
      </w:r>
      <w:r w:rsidRPr="00C03247">
        <w:rPr>
          <w:rFonts w:ascii="微软雅黑" w:eastAsia="微软雅黑" w:hAnsi="微软雅黑"/>
          <w:sz w:val="18"/>
          <w:szCs w:val="18"/>
        </w:rPr>
        <w:br/>
        <w:t>针对不同失效场景，采用适当的处理策略，常见策略包括：</w:t>
      </w:r>
    </w:p>
    <w:p w14:paraId="52A91EF3" w14:textId="77777777" w:rsidR="00C03247" w:rsidRPr="00C03247" w:rsidRDefault="00C03247" w:rsidP="00C03247">
      <w:pPr>
        <w:numPr>
          <w:ilvl w:val="1"/>
          <w:numId w:val="7"/>
        </w:numPr>
        <w:rPr>
          <w:rFonts w:ascii="微软雅黑" w:eastAsia="微软雅黑" w:hAnsi="微软雅黑"/>
          <w:sz w:val="18"/>
          <w:szCs w:val="18"/>
        </w:rPr>
      </w:pPr>
      <w:r w:rsidRPr="00C03247">
        <w:rPr>
          <w:rFonts w:ascii="微软雅黑" w:eastAsia="微软雅黑" w:hAnsi="微软雅黑"/>
          <w:sz w:val="18"/>
          <w:szCs w:val="18"/>
        </w:rPr>
        <w:t>在初始化健康检测成功完成之前，不进行随机数输出；</w:t>
      </w:r>
    </w:p>
    <w:p w14:paraId="3D152E8A" w14:textId="77777777" w:rsidR="00C03247" w:rsidRPr="00C03247" w:rsidRDefault="00C03247" w:rsidP="00C03247">
      <w:pPr>
        <w:numPr>
          <w:ilvl w:val="1"/>
          <w:numId w:val="7"/>
        </w:numPr>
        <w:rPr>
          <w:rFonts w:ascii="微软雅黑" w:eastAsia="微软雅黑" w:hAnsi="微软雅黑"/>
          <w:sz w:val="18"/>
          <w:szCs w:val="18"/>
        </w:rPr>
      </w:pPr>
      <w:r w:rsidRPr="00C03247">
        <w:rPr>
          <w:rFonts w:ascii="微软雅黑" w:eastAsia="微软雅黑" w:hAnsi="微软雅黑"/>
          <w:sz w:val="18"/>
          <w:szCs w:val="18"/>
        </w:rPr>
        <w:t>终止随机数输出；</w:t>
      </w:r>
    </w:p>
    <w:p w14:paraId="70A72AF0" w14:textId="77777777" w:rsidR="00C03247" w:rsidRPr="00C03247" w:rsidRDefault="00C03247" w:rsidP="00C03247">
      <w:pPr>
        <w:numPr>
          <w:ilvl w:val="1"/>
          <w:numId w:val="7"/>
        </w:numPr>
        <w:rPr>
          <w:rFonts w:ascii="微软雅黑" w:eastAsia="微软雅黑" w:hAnsi="微软雅黑"/>
          <w:sz w:val="18"/>
          <w:szCs w:val="18"/>
        </w:rPr>
      </w:pPr>
      <w:r w:rsidRPr="00C03247">
        <w:rPr>
          <w:rFonts w:ascii="微软雅黑" w:eastAsia="微软雅黑" w:hAnsi="微软雅黑"/>
          <w:sz w:val="18"/>
          <w:szCs w:val="18"/>
        </w:rPr>
        <w:t>在继续输出随机数的同时输出失效指示。</w:t>
      </w:r>
    </w:p>
    <w:p w14:paraId="58272BFA" w14:textId="32950B8E" w:rsidR="00C03247" w:rsidRPr="00C03247" w:rsidRDefault="00C03247" w:rsidP="00C03247">
      <w:pPr>
        <w:numPr>
          <w:ilvl w:val="0"/>
          <w:numId w:val="7"/>
        </w:numPr>
        <w:rPr>
          <w:rFonts w:ascii="微软雅黑" w:eastAsia="微软雅黑" w:hAnsi="微软雅黑"/>
          <w:sz w:val="18"/>
          <w:szCs w:val="18"/>
        </w:rPr>
      </w:pPr>
      <w:proofErr w:type="gramStart"/>
      <w:r w:rsidRPr="00C03247">
        <w:rPr>
          <w:rFonts w:ascii="微软雅黑" w:eastAsia="微软雅黑" w:hAnsi="微软雅黑"/>
          <w:b/>
          <w:bCs/>
          <w:sz w:val="18"/>
          <w:szCs w:val="18"/>
        </w:rPr>
        <w:t>送测设备</w:t>
      </w:r>
      <w:proofErr w:type="gramEnd"/>
      <w:r w:rsidRPr="00C03247">
        <w:rPr>
          <w:rFonts w:ascii="微软雅黑" w:eastAsia="微软雅黑" w:hAnsi="微软雅黑"/>
          <w:b/>
          <w:bCs/>
          <w:sz w:val="18"/>
          <w:szCs w:val="18"/>
        </w:rPr>
        <w:t>可以使用自定义的上述未包含的</w:t>
      </w:r>
      <w:r w:rsidR="00676A7C">
        <w:rPr>
          <w:rFonts w:ascii="微软雅黑" w:eastAsia="微软雅黑" w:hAnsi="微软雅黑" w:hint="eastAsia"/>
          <w:b/>
          <w:bCs/>
          <w:sz w:val="18"/>
          <w:szCs w:val="18"/>
        </w:rPr>
        <w:t>健康检测</w:t>
      </w:r>
      <w:r w:rsidRPr="00C03247">
        <w:rPr>
          <w:rFonts w:ascii="微软雅黑" w:eastAsia="微软雅黑" w:hAnsi="微软雅黑"/>
          <w:b/>
          <w:bCs/>
          <w:sz w:val="18"/>
          <w:szCs w:val="18"/>
        </w:rPr>
        <w:t>方法</w:t>
      </w:r>
      <w:r w:rsidR="00676A7C">
        <w:rPr>
          <w:rFonts w:ascii="微软雅黑" w:eastAsia="微软雅黑" w:hAnsi="微软雅黑" w:hint="eastAsia"/>
          <w:b/>
          <w:bCs/>
          <w:sz w:val="18"/>
          <w:szCs w:val="18"/>
        </w:rPr>
        <w:t>或技术</w:t>
      </w:r>
      <w:r w:rsidRPr="00C03247">
        <w:rPr>
          <w:rFonts w:ascii="微软雅黑" w:eastAsia="微软雅黑" w:hAnsi="微软雅黑"/>
          <w:b/>
          <w:bCs/>
          <w:sz w:val="18"/>
          <w:szCs w:val="18"/>
        </w:rPr>
        <w:t>，需提供充足的证据证明其设计的合理性</w:t>
      </w:r>
    </w:p>
    <w:p w14:paraId="47221844" w14:textId="77777777" w:rsidR="00C03247" w:rsidRPr="00796337" w:rsidRDefault="00C03247" w:rsidP="004B7700">
      <w:pPr>
        <w:rPr>
          <w:rFonts w:ascii="微软雅黑" w:eastAsia="微软雅黑" w:hAnsi="微软雅黑" w:hint="eastAsia"/>
          <w:sz w:val="18"/>
          <w:szCs w:val="18"/>
        </w:rPr>
      </w:pPr>
    </w:p>
    <w:p w14:paraId="20999362" w14:textId="77777777" w:rsidR="008D5B8B" w:rsidRPr="008D5B8B" w:rsidRDefault="008D5B8B" w:rsidP="008D5B8B">
      <w:pPr>
        <w:rPr>
          <w:rFonts w:hint="eastAsia"/>
        </w:rPr>
      </w:pPr>
    </w:p>
    <w:sectPr w:rsidR="008D5B8B" w:rsidRPr="008D5B8B" w:rsidSect="00131B5E">
      <w:pgSz w:w="12240" w:h="15840"/>
      <w:pgMar w:top="1440" w:right="1183"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121DB"/>
    <w:multiLevelType w:val="hybridMultilevel"/>
    <w:tmpl w:val="D4486D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F890DF1"/>
    <w:multiLevelType w:val="multilevel"/>
    <w:tmpl w:val="094C09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0108A4"/>
    <w:multiLevelType w:val="hybridMultilevel"/>
    <w:tmpl w:val="40706B44"/>
    <w:lvl w:ilvl="0" w:tplc="5BB6B680">
      <w:start w:val="1"/>
      <w:numFmt w:val="decimal"/>
      <w:lvlText w:val="%1."/>
      <w:lvlJc w:val="left"/>
      <w:pPr>
        <w:ind w:left="862" w:hanging="360"/>
      </w:pPr>
      <w:rPr>
        <w:rFonts w:hint="eastAsia"/>
        <w:b w:val="0"/>
        <w:i w:val="0"/>
        <w:strike w:val="0"/>
        <w:dstrike w:val="0"/>
        <w:color w:val="000000"/>
        <w:sz w:val="18"/>
        <w:szCs w:val="32"/>
        <w:u w:val="none" w:color="000000"/>
        <w:vertAlign w:val="baseline"/>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 w15:restartNumberingAfterBreak="0">
    <w:nsid w:val="5FE80454"/>
    <w:multiLevelType w:val="multilevel"/>
    <w:tmpl w:val="4F027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360FEF"/>
    <w:multiLevelType w:val="multilevel"/>
    <w:tmpl w:val="265882F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766C56D5"/>
    <w:multiLevelType w:val="hybridMultilevel"/>
    <w:tmpl w:val="C674D994"/>
    <w:lvl w:ilvl="0" w:tplc="CCD46DAC">
      <w:start w:val="1"/>
      <w:numFmt w:val="decimal"/>
      <w:lvlText w:val="%1）"/>
      <w:lvlJc w:val="left"/>
      <w:pPr>
        <w:ind w:left="550" w:hanging="360"/>
      </w:pPr>
      <w:rPr>
        <w:rFonts w:hint="default"/>
      </w:rPr>
    </w:lvl>
    <w:lvl w:ilvl="1" w:tplc="04090019" w:tentative="1">
      <w:start w:val="1"/>
      <w:numFmt w:val="lowerLetter"/>
      <w:lvlText w:val="%2."/>
      <w:lvlJc w:val="left"/>
      <w:pPr>
        <w:ind w:left="1270" w:hanging="360"/>
      </w:pPr>
    </w:lvl>
    <w:lvl w:ilvl="2" w:tplc="0409001B" w:tentative="1">
      <w:start w:val="1"/>
      <w:numFmt w:val="lowerRoman"/>
      <w:lvlText w:val="%3."/>
      <w:lvlJc w:val="right"/>
      <w:pPr>
        <w:ind w:left="1990" w:hanging="180"/>
      </w:pPr>
    </w:lvl>
    <w:lvl w:ilvl="3" w:tplc="0409000F" w:tentative="1">
      <w:start w:val="1"/>
      <w:numFmt w:val="decimal"/>
      <w:lvlText w:val="%4."/>
      <w:lvlJc w:val="left"/>
      <w:pPr>
        <w:ind w:left="2710" w:hanging="360"/>
      </w:pPr>
    </w:lvl>
    <w:lvl w:ilvl="4" w:tplc="04090019" w:tentative="1">
      <w:start w:val="1"/>
      <w:numFmt w:val="lowerLetter"/>
      <w:lvlText w:val="%5."/>
      <w:lvlJc w:val="left"/>
      <w:pPr>
        <w:ind w:left="3430" w:hanging="360"/>
      </w:pPr>
    </w:lvl>
    <w:lvl w:ilvl="5" w:tplc="0409001B" w:tentative="1">
      <w:start w:val="1"/>
      <w:numFmt w:val="lowerRoman"/>
      <w:lvlText w:val="%6."/>
      <w:lvlJc w:val="right"/>
      <w:pPr>
        <w:ind w:left="4150" w:hanging="180"/>
      </w:pPr>
    </w:lvl>
    <w:lvl w:ilvl="6" w:tplc="0409000F" w:tentative="1">
      <w:start w:val="1"/>
      <w:numFmt w:val="decimal"/>
      <w:lvlText w:val="%7."/>
      <w:lvlJc w:val="left"/>
      <w:pPr>
        <w:ind w:left="4870" w:hanging="360"/>
      </w:pPr>
    </w:lvl>
    <w:lvl w:ilvl="7" w:tplc="04090019" w:tentative="1">
      <w:start w:val="1"/>
      <w:numFmt w:val="lowerLetter"/>
      <w:lvlText w:val="%8."/>
      <w:lvlJc w:val="left"/>
      <w:pPr>
        <w:ind w:left="5590" w:hanging="360"/>
      </w:pPr>
    </w:lvl>
    <w:lvl w:ilvl="8" w:tplc="0409001B" w:tentative="1">
      <w:start w:val="1"/>
      <w:numFmt w:val="lowerRoman"/>
      <w:lvlText w:val="%9."/>
      <w:lvlJc w:val="right"/>
      <w:pPr>
        <w:ind w:left="6310" w:hanging="180"/>
      </w:pPr>
    </w:lvl>
  </w:abstractNum>
  <w:abstractNum w:abstractNumId="6" w15:restartNumberingAfterBreak="0">
    <w:nsid w:val="7E222363"/>
    <w:multiLevelType w:val="multilevel"/>
    <w:tmpl w:val="7A7200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9469425">
    <w:abstractNumId w:val="0"/>
  </w:num>
  <w:num w:numId="2" w16cid:durableId="1600678477">
    <w:abstractNumId w:val="4"/>
  </w:num>
  <w:num w:numId="3" w16cid:durableId="650643175">
    <w:abstractNumId w:val="3"/>
  </w:num>
  <w:num w:numId="4" w16cid:durableId="1594053333">
    <w:abstractNumId w:val="6"/>
  </w:num>
  <w:num w:numId="5" w16cid:durableId="1813131015">
    <w:abstractNumId w:val="2"/>
  </w:num>
  <w:num w:numId="6" w16cid:durableId="237328158">
    <w:abstractNumId w:val="5"/>
  </w:num>
  <w:num w:numId="7" w16cid:durableId="1091313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34C"/>
    <w:rsid w:val="00012EFE"/>
    <w:rsid w:val="0001508A"/>
    <w:rsid w:val="0002234C"/>
    <w:rsid w:val="00131B5E"/>
    <w:rsid w:val="00182C2D"/>
    <w:rsid w:val="00221559"/>
    <w:rsid w:val="002271ED"/>
    <w:rsid w:val="00275ADD"/>
    <w:rsid w:val="00325BCE"/>
    <w:rsid w:val="00334558"/>
    <w:rsid w:val="0044093B"/>
    <w:rsid w:val="00487FCF"/>
    <w:rsid w:val="004B7700"/>
    <w:rsid w:val="004C0288"/>
    <w:rsid w:val="0060482C"/>
    <w:rsid w:val="00676A7C"/>
    <w:rsid w:val="006B7067"/>
    <w:rsid w:val="006E6007"/>
    <w:rsid w:val="006F525C"/>
    <w:rsid w:val="00720E3C"/>
    <w:rsid w:val="007811D7"/>
    <w:rsid w:val="00796337"/>
    <w:rsid w:val="007E7EDB"/>
    <w:rsid w:val="00822ABD"/>
    <w:rsid w:val="008C2B57"/>
    <w:rsid w:val="008D5B8B"/>
    <w:rsid w:val="00950694"/>
    <w:rsid w:val="0099042C"/>
    <w:rsid w:val="009A2597"/>
    <w:rsid w:val="00A23829"/>
    <w:rsid w:val="00A96DDE"/>
    <w:rsid w:val="00AA44E9"/>
    <w:rsid w:val="00AB5F51"/>
    <w:rsid w:val="00AE198D"/>
    <w:rsid w:val="00B84CA0"/>
    <w:rsid w:val="00C03247"/>
    <w:rsid w:val="00C54606"/>
    <w:rsid w:val="00D42124"/>
    <w:rsid w:val="00DD54F8"/>
    <w:rsid w:val="00E335E8"/>
    <w:rsid w:val="00E65AA1"/>
    <w:rsid w:val="00E923BF"/>
    <w:rsid w:val="00EE39F0"/>
    <w:rsid w:val="00EE49F0"/>
    <w:rsid w:val="00FB4D0C"/>
    <w:rsid w:val="00FF2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84ED0"/>
  <w15:chartTrackingRefBased/>
  <w15:docId w15:val="{8F7B4250-49EF-4465-A69A-78E5BCB35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234C"/>
    <w:pPr>
      <w:keepNext/>
      <w:keepLines/>
      <w:numPr>
        <w:numId w:val="2"/>
      </w:numPr>
      <w:spacing w:before="360" w:after="80"/>
      <w:outlineLvl w:val="0"/>
    </w:pPr>
    <w:rPr>
      <w:rFonts w:ascii="微软雅黑" w:eastAsia="微软雅黑" w:hAnsi="微软雅黑" w:cstheme="majorBidi"/>
      <w:b/>
      <w:bCs/>
      <w:sz w:val="28"/>
      <w:szCs w:val="28"/>
    </w:rPr>
  </w:style>
  <w:style w:type="paragraph" w:styleId="Heading2">
    <w:name w:val="heading 2"/>
    <w:basedOn w:val="Normal"/>
    <w:next w:val="Normal"/>
    <w:link w:val="Heading2Char"/>
    <w:uiPriority w:val="9"/>
    <w:unhideWhenUsed/>
    <w:qFormat/>
    <w:rsid w:val="00E335E8"/>
    <w:pPr>
      <w:keepNext/>
      <w:keepLines/>
      <w:numPr>
        <w:ilvl w:val="1"/>
        <w:numId w:val="2"/>
      </w:numPr>
      <w:spacing w:before="160" w:after="80"/>
      <w:outlineLvl w:val="1"/>
    </w:pPr>
    <w:rPr>
      <w:rFonts w:ascii="微软雅黑" w:eastAsia="微软雅黑" w:hAnsi="微软雅黑" w:cstheme="majorBidi"/>
      <w:b/>
      <w:bCs/>
      <w:sz w:val="20"/>
      <w:szCs w:val="20"/>
    </w:rPr>
  </w:style>
  <w:style w:type="paragraph" w:styleId="Heading3">
    <w:name w:val="heading 3"/>
    <w:basedOn w:val="Normal"/>
    <w:next w:val="Normal"/>
    <w:link w:val="Heading3Char"/>
    <w:uiPriority w:val="9"/>
    <w:semiHidden/>
    <w:unhideWhenUsed/>
    <w:qFormat/>
    <w:rsid w:val="0002234C"/>
    <w:pPr>
      <w:keepNext/>
      <w:keepLines/>
      <w:numPr>
        <w:ilvl w:val="2"/>
        <w:numId w:val="2"/>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234C"/>
    <w:pPr>
      <w:keepNext/>
      <w:keepLines/>
      <w:numPr>
        <w:ilvl w:val="3"/>
        <w:numId w:val="2"/>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234C"/>
    <w:pPr>
      <w:keepNext/>
      <w:keepLines/>
      <w:numPr>
        <w:ilvl w:val="4"/>
        <w:numId w:val="2"/>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234C"/>
    <w:pPr>
      <w:keepNext/>
      <w:keepLines/>
      <w:numPr>
        <w:ilvl w:val="5"/>
        <w:numId w:val="2"/>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234C"/>
    <w:pPr>
      <w:keepNext/>
      <w:keepLines/>
      <w:numPr>
        <w:ilvl w:val="6"/>
        <w:numId w:val="2"/>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234C"/>
    <w:pPr>
      <w:keepNext/>
      <w:keepLines/>
      <w:numPr>
        <w:ilvl w:val="7"/>
        <w:numId w:val="2"/>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234C"/>
    <w:pPr>
      <w:keepNext/>
      <w:keepLines/>
      <w:numPr>
        <w:ilvl w:val="8"/>
        <w:numId w:val="2"/>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34C"/>
    <w:rPr>
      <w:rFonts w:ascii="微软雅黑" w:eastAsia="微软雅黑" w:hAnsi="微软雅黑" w:cstheme="majorBidi"/>
      <w:b/>
      <w:bCs/>
      <w:sz w:val="28"/>
      <w:szCs w:val="28"/>
    </w:rPr>
  </w:style>
  <w:style w:type="character" w:customStyle="1" w:styleId="Heading2Char">
    <w:name w:val="Heading 2 Char"/>
    <w:basedOn w:val="DefaultParagraphFont"/>
    <w:link w:val="Heading2"/>
    <w:uiPriority w:val="9"/>
    <w:rsid w:val="00E335E8"/>
    <w:rPr>
      <w:rFonts w:ascii="微软雅黑" w:eastAsia="微软雅黑" w:hAnsi="微软雅黑" w:cstheme="majorBidi"/>
      <w:b/>
      <w:bCs/>
      <w:sz w:val="20"/>
      <w:szCs w:val="20"/>
    </w:rPr>
  </w:style>
  <w:style w:type="character" w:customStyle="1" w:styleId="Heading3Char">
    <w:name w:val="Heading 3 Char"/>
    <w:basedOn w:val="DefaultParagraphFont"/>
    <w:link w:val="Heading3"/>
    <w:uiPriority w:val="9"/>
    <w:semiHidden/>
    <w:rsid w:val="000223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23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23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23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23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23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234C"/>
    <w:rPr>
      <w:rFonts w:eastAsiaTheme="majorEastAsia" w:cstheme="majorBidi"/>
      <w:color w:val="272727" w:themeColor="text1" w:themeTint="D8"/>
    </w:rPr>
  </w:style>
  <w:style w:type="paragraph" w:styleId="Title">
    <w:name w:val="Title"/>
    <w:basedOn w:val="Normal"/>
    <w:next w:val="Normal"/>
    <w:link w:val="TitleChar"/>
    <w:uiPriority w:val="10"/>
    <w:qFormat/>
    <w:rsid w:val="000223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3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3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23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34C"/>
    <w:pPr>
      <w:spacing w:before="160"/>
      <w:jc w:val="center"/>
    </w:pPr>
    <w:rPr>
      <w:i/>
      <w:iCs/>
      <w:color w:val="404040" w:themeColor="text1" w:themeTint="BF"/>
    </w:rPr>
  </w:style>
  <w:style w:type="character" w:customStyle="1" w:styleId="QuoteChar">
    <w:name w:val="Quote Char"/>
    <w:basedOn w:val="DefaultParagraphFont"/>
    <w:link w:val="Quote"/>
    <w:uiPriority w:val="29"/>
    <w:rsid w:val="0002234C"/>
    <w:rPr>
      <w:i/>
      <w:iCs/>
      <w:color w:val="404040" w:themeColor="text1" w:themeTint="BF"/>
    </w:rPr>
  </w:style>
  <w:style w:type="paragraph" w:styleId="ListParagraph">
    <w:name w:val="List Paragraph"/>
    <w:basedOn w:val="Normal"/>
    <w:uiPriority w:val="34"/>
    <w:qFormat/>
    <w:rsid w:val="0002234C"/>
    <w:pPr>
      <w:ind w:left="720"/>
      <w:contextualSpacing/>
    </w:pPr>
  </w:style>
  <w:style w:type="character" w:styleId="IntenseEmphasis">
    <w:name w:val="Intense Emphasis"/>
    <w:basedOn w:val="DefaultParagraphFont"/>
    <w:uiPriority w:val="21"/>
    <w:qFormat/>
    <w:rsid w:val="0002234C"/>
    <w:rPr>
      <w:i/>
      <w:iCs/>
      <w:color w:val="0F4761" w:themeColor="accent1" w:themeShade="BF"/>
    </w:rPr>
  </w:style>
  <w:style w:type="paragraph" w:styleId="IntenseQuote">
    <w:name w:val="Intense Quote"/>
    <w:basedOn w:val="Normal"/>
    <w:next w:val="Normal"/>
    <w:link w:val="IntenseQuoteChar"/>
    <w:uiPriority w:val="30"/>
    <w:qFormat/>
    <w:rsid w:val="000223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234C"/>
    <w:rPr>
      <w:i/>
      <w:iCs/>
      <w:color w:val="0F4761" w:themeColor="accent1" w:themeShade="BF"/>
    </w:rPr>
  </w:style>
  <w:style w:type="character" w:styleId="IntenseReference">
    <w:name w:val="Intense Reference"/>
    <w:basedOn w:val="DefaultParagraphFont"/>
    <w:uiPriority w:val="32"/>
    <w:qFormat/>
    <w:rsid w:val="0002234C"/>
    <w:rPr>
      <w:b/>
      <w:bCs/>
      <w:smallCaps/>
      <w:color w:val="0F4761" w:themeColor="accent1" w:themeShade="BF"/>
      <w:spacing w:val="5"/>
    </w:rPr>
  </w:style>
  <w:style w:type="table" w:styleId="TableGrid">
    <w:name w:val="Table Grid"/>
    <w:basedOn w:val="TableNormal"/>
    <w:uiPriority w:val="39"/>
    <w:rsid w:val="00E65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84CA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340043">
      <w:bodyDiv w:val="1"/>
      <w:marLeft w:val="0"/>
      <w:marRight w:val="0"/>
      <w:marTop w:val="0"/>
      <w:marBottom w:val="0"/>
      <w:divBdr>
        <w:top w:val="none" w:sz="0" w:space="0" w:color="auto"/>
        <w:left w:val="none" w:sz="0" w:space="0" w:color="auto"/>
        <w:bottom w:val="none" w:sz="0" w:space="0" w:color="auto"/>
        <w:right w:val="none" w:sz="0" w:space="0" w:color="auto"/>
      </w:divBdr>
      <w:divsChild>
        <w:div w:id="179315915">
          <w:marLeft w:val="0"/>
          <w:marRight w:val="0"/>
          <w:marTop w:val="0"/>
          <w:marBottom w:val="0"/>
          <w:divBdr>
            <w:top w:val="none" w:sz="0" w:space="0" w:color="auto"/>
            <w:left w:val="none" w:sz="0" w:space="0" w:color="auto"/>
            <w:bottom w:val="none" w:sz="0" w:space="0" w:color="auto"/>
            <w:right w:val="none" w:sz="0" w:space="0" w:color="auto"/>
          </w:divBdr>
        </w:div>
      </w:divsChild>
    </w:div>
    <w:div w:id="525294803">
      <w:bodyDiv w:val="1"/>
      <w:marLeft w:val="0"/>
      <w:marRight w:val="0"/>
      <w:marTop w:val="0"/>
      <w:marBottom w:val="0"/>
      <w:divBdr>
        <w:top w:val="none" w:sz="0" w:space="0" w:color="auto"/>
        <w:left w:val="none" w:sz="0" w:space="0" w:color="auto"/>
        <w:bottom w:val="none" w:sz="0" w:space="0" w:color="auto"/>
        <w:right w:val="none" w:sz="0" w:space="0" w:color="auto"/>
      </w:divBdr>
      <w:divsChild>
        <w:div w:id="1610308111">
          <w:marLeft w:val="0"/>
          <w:marRight w:val="0"/>
          <w:marTop w:val="240"/>
          <w:marBottom w:val="240"/>
          <w:divBdr>
            <w:top w:val="none" w:sz="0" w:space="0" w:color="auto"/>
            <w:left w:val="none" w:sz="0" w:space="0" w:color="auto"/>
            <w:bottom w:val="none" w:sz="0" w:space="0" w:color="auto"/>
            <w:right w:val="none" w:sz="0" w:space="0" w:color="auto"/>
          </w:divBdr>
        </w:div>
        <w:div w:id="336539526">
          <w:marLeft w:val="0"/>
          <w:marRight w:val="0"/>
          <w:marTop w:val="240"/>
          <w:marBottom w:val="240"/>
          <w:divBdr>
            <w:top w:val="none" w:sz="0" w:space="0" w:color="auto"/>
            <w:left w:val="none" w:sz="0" w:space="0" w:color="auto"/>
            <w:bottom w:val="none" w:sz="0" w:space="0" w:color="auto"/>
            <w:right w:val="none" w:sz="0" w:space="0" w:color="auto"/>
          </w:divBdr>
        </w:div>
        <w:div w:id="907809596">
          <w:marLeft w:val="0"/>
          <w:marRight w:val="0"/>
          <w:marTop w:val="240"/>
          <w:marBottom w:val="240"/>
          <w:divBdr>
            <w:top w:val="none" w:sz="0" w:space="0" w:color="auto"/>
            <w:left w:val="none" w:sz="0" w:space="0" w:color="auto"/>
            <w:bottom w:val="none" w:sz="0" w:space="0" w:color="auto"/>
            <w:right w:val="none" w:sz="0" w:space="0" w:color="auto"/>
          </w:divBdr>
        </w:div>
        <w:div w:id="2066685958">
          <w:marLeft w:val="0"/>
          <w:marRight w:val="0"/>
          <w:marTop w:val="0"/>
          <w:marBottom w:val="0"/>
          <w:divBdr>
            <w:top w:val="none" w:sz="0" w:space="0" w:color="auto"/>
            <w:left w:val="none" w:sz="0" w:space="0" w:color="auto"/>
            <w:bottom w:val="none" w:sz="0" w:space="0" w:color="auto"/>
            <w:right w:val="none" w:sz="0" w:space="0" w:color="auto"/>
          </w:divBdr>
        </w:div>
        <w:div w:id="690381484">
          <w:marLeft w:val="0"/>
          <w:marRight w:val="0"/>
          <w:marTop w:val="0"/>
          <w:marBottom w:val="0"/>
          <w:divBdr>
            <w:top w:val="none" w:sz="0" w:space="0" w:color="auto"/>
            <w:left w:val="none" w:sz="0" w:space="0" w:color="auto"/>
            <w:bottom w:val="none" w:sz="0" w:space="0" w:color="auto"/>
            <w:right w:val="none" w:sz="0" w:space="0" w:color="auto"/>
          </w:divBdr>
        </w:div>
        <w:div w:id="294525083">
          <w:marLeft w:val="0"/>
          <w:marRight w:val="0"/>
          <w:marTop w:val="240"/>
          <w:marBottom w:val="240"/>
          <w:divBdr>
            <w:top w:val="none" w:sz="0" w:space="0" w:color="auto"/>
            <w:left w:val="none" w:sz="0" w:space="0" w:color="auto"/>
            <w:bottom w:val="none" w:sz="0" w:space="0" w:color="auto"/>
            <w:right w:val="none" w:sz="0" w:space="0" w:color="auto"/>
          </w:divBdr>
        </w:div>
        <w:div w:id="1904214266">
          <w:marLeft w:val="0"/>
          <w:marRight w:val="0"/>
          <w:marTop w:val="240"/>
          <w:marBottom w:val="240"/>
          <w:divBdr>
            <w:top w:val="none" w:sz="0" w:space="0" w:color="auto"/>
            <w:left w:val="none" w:sz="0" w:space="0" w:color="auto"/>
            <w:bottom w:val="none" w:sz="0" w:space="0" w:color="auto"/>
            <w:right w:val="none" w:sz="0" w:space="0" w:color="auto"/>
          </w:divBdr>
        </w:div>
        <w:div w:id="140661860">
          <w:marLeft w:val="0"/>
          <w:marRight w:val="0"/>
          <w:marTop w:val="0"/>
          <w:marBottom w:val="0"/>
          <w:divBdr>
            <w:top w:val="none" w:sz="0" w:space="0" w:color="auto"/>
            <w:left w:val="none" w:sz="0" w:space="0" w:color="auto"/>
            <w:bottom w:val="none" w:sz="0" w:space="0" w:color="auto"/>
            <w:right w:val="none" w:sz="0" w:space="0" w:color="auto"/>
          </w:divBdr>
        </w:div>
        <w:div w:id="805243009">
          <w:marLeft w:val="0"/>
          <w:marRight w:val="0"/>
          <w:marTop w:val="0"/>
          <w:marBottom w:val="0"/>
          <w:divBdr>
            <w:top w:val="none" w:sz="0" w:space="0" w:color="auto"/>
            <w:left w:val="none" w:sz="0" w:space="0" w:color="auto"/>
            <w:bottom w:val="none" w:sz="0" w:space="0" w:color="auto"/>
            <w:right w:val="none" w:sz="0" w:space="0" w:color="auto"/>
          </w:divBdr>
        </w:div>
        <w:div w:id="999236269">
          <w:marLeft w:val="0"/>
          <w:marRight w:val="0"/>
          <w:marTop w:val="0"/>
          <w:marBottom w:val="0"/>
          <w:divBdr>
            <w:top w:val="none" w:sz="0" w:space="0" w:color="auto"/>
            <w:left w:val="none" w:sz="0" w:space="0" w:color="auto"/>
            <w:bottom w:val="none" w:sz="0" w:space="0" w:color="auto"/>
            <w:right w:val="none" w:sz="0" w:space="0" w:color="auto"/>
          </w:divBdr>
        </w:div>
        <w:div w:id="1444766277">
          <w:marLeft w:val="0"/>
          <w:marRight w:val="0"/>
          <w:marTop w:val="0"/>
          <w:marBottom w:val="0"/>
          <w:divBdr>
            <w:top w:val="none" w:sz="0" w:space="0" w:color="auto"/>
            <w:left w:val="none" w:sz="0" w:space="0" w:color="auto"/>
            <w:bottom w:val="none" w:sz="0" w:space="0" w:color="auto"/>
            <w:right w:val="none" w:sz="0" w:space="0" w:color="auto"/>
          </w:divBdr>
        </w:div>
      </w:divsChild>
    </w:div>
    <w:div w:id="833764922">
      <w:bodyDiv w:val="1"/>
      <w:marLeft w:val="0"/>
      <w:marRight w:val="0"/>
      <w:marTop w:val="0"/>
      <w:marBottom w:val="0"/>
      <w:divBdr>
        <w:top w:val="none" w:sz="0" w:space="0" w:color="auto"/>
        <w:left w:val="none" w:sz="0" w:space="0" w:color="auto"/>
        <w:bottom w:val="none" w:sz="0" w:space="0" w:color="auto"/>
        <w:right w:val="none" w:sz="0" w:space="0" w:color="auto"/>
      </w:divBdr>
      <w:divsChild>
        <w:div w:id="940835895">
          <w:marLeft w:val="0"/>
          <w:marRight w:val="0"/>
          <w:marTop w:val="0"/>
          <w:marBottom w:val="0"/>
          <w:divBdr>
            <w:top w:val="none" w:sz="0" w:space="0" w:color="auto"/>
            <w:left w:val="none" w:sz="0" w:space="0" w:color="auto"/>
            <w:bottom w:val="none" w:sz="0" w:space="0" w:color="auto"/>
            <w:right w:val="none" w:sz="0" w:space="0" w:color="auto"/>
          </w:divBdr>
        </w:div>
      </w:divsChild>
    </w:div>
    <w:div w:id="1333604337">
      <w:bodyDiv w:val="1"/>
      <w:marLeft w:val="0"/>
      <w:marRight w:val="0"/>
      <w:marTop w:val="0"/>
      <w:marBottom w:val="0"/>
      <w:divBdr>
        <w:top w:val="none" w:sz="0" w:space="0" w:color="auto"/>
        <w:left w:val="none" w:sz="0" w:space="0" w:color="auto"/>
        <w:bottom w:val="none" w:sz="0" w:space="0" w:color="auto"/>
        <w:right w:val="none" w:sz="0" w:space="0" w:color="auto"/>
      </w:divBdr>
      <w:divsChild>
        <w:div w:id="264970791">
          <w:marLeft w:val="0"/>
          <w:marRight w:val="0"/>
          <w:marTop w:val="0"/>
          <w:marBottom w:val="0"/>
          <w:divBdr>
            <w:top w:val="none" w:sz="0" w:space="0" w:color="auto"/>
            <w:left w:val="none" w:sz="0" w:space="0" w:color="auto"/>
            <w:bottom w:val="none" w:sz="0" w:space="0" w:color="auto"/>
            <w:right w:val="none" w:sz="0" w:space="0" w:color="auto"/>
          </w:divBdr>
        </w:div>
      </w:divsChild>
    </w:div>
    <w:div w:id="1445004187">
      <w:bodyDiv w:val="1"/>
      <w:marLeft w:val="0"/>
      <w:marRight w:val="0"/>
      <w:marTop w:val="0"/>
      <w:marBottom w:val="0"/>
      <w:divBdr>
        <w:top w:val="none" w:sz="0" w:space="0" w:color="auto"/>
        <w:left w:val="none" w:sz="0" w:space="0" w:color="auto"/>
        <w:bottom w:val="none" w:sz="0" w:space="0" w:color="auto"/>
        <w:right w:val="none" w:sz="0" w:space="0" w:color="auto"/>
      </w:divBdr>
      <w:divsChild>
        <w:div w:id="274604974">
          <w:marLeft w:val="0"/>
          <w:marRight w:val="0"/>
          <w:marTop w:val="240"/>
          <w:marBottom w:val="240"/>
          <w:divBdr>
            <w:top w:val="none" w:sz="0" w:space="0" w:color="auto"/>
            <w:left w:val="none" w:sz="0" w:space="0" w:color="auto"/>
            <w:bottom w:val="none" w:sz="0" w:space="0" w:color="auto"/>
            <w:right w:val="none" w:sz="0" w:space="0" w:color="auto"/>
          </w:divBdr>
        </w:div>
        <w:div w:id="1668940773">
          <w:marLeft w:val="0"/>
          <w:marRight w:val="0"/>
          <w:marTop w:val="240"/>
          <w:marBottom w:val="240"/>
          <w:divBdr>
            <w:top w:val="none" w:sz="0" w:space="0" w:color="auto"/>
            <w:left w:val="none" w:sz="0" w:space="0" w:color="auto"/>
            <w:bottom w:val="none" w:sz="0" w:space="0" w:color="auto"/>
            <w:right w:val="none" w:sz="0" w:space="0" w:color="auto"/>
          </w:divBdr>
        </w:div>
        <w:div w:id="2137143473">
          <w:marLeft w:val="0"/>
          <w:marRight w:val="0"/>
          <w:marTop w:val="240"/>
          <w:marBottom w:val="240"/>
          <w:divBdr>
            <w:top w:val="none" w:sz="0" w:space="0" w:color="auto"/>
            <w:left w:val="none" w:sz="0" w:space="0" w:color="auto"/>
            <w:bottom w:val="none" w:sz="0" w:space="0" w:color="auto"/>
            <w:right w:val="none" w:sz="0" w:space="0" w:color="auto"/>
          </w:divBdr>
        </w:div>
        <w:div w:id="1807578910">
          <w:marLeft w:val="0"/>
          <w:marRight w:val="0"/>
          <w:marTop w:val="0"/>
          <w:marBottom w:val="0"/>
          <w:divBdr>
            <w:top w:val="none" w:sz="0" w:space="0" w:color="auto"/>
            <w:left w:val="none" w:sz="0" w:space="0" w:color="auto"/>
            <w:bottom w:val="none" w:sz="0" w:space="0" w:color="auto"/>
            <w:right w:val="none" w:sz="0" w:space="0" w:color="auto"/>
          </w:divBdr>
        </w:div>
        <w:div w:id="1778215096">
          <w:marLeft w:val="0"/>
          <w:marRight w:val="0"/>
          <w:marTop w:val="0"/>
          <w:marBottom w:val="0"/>
          <w:divBdr>
            <w:top w:val="none" w:sz="0" w:space="0" w:color="auto"/>
            <w:left w:val="none" w:sz="0" w:space="0" w:color="auto"/>
            <w:bottom w:val="none" w:sz="0" w:space="0" w:color="auto"/>
            <w:right w:val="none" w:sz="0" w:space="0" w:color="auto"/>
          </w:divBdr>
        </w:div>
        <w:div w:id="2028602067">
          <w:marLeft w:val="0"/>
          <w:marRight w:val="0"/>
          <w:marTop w:val="240"/>
          <w:marBottom w:val="240"/>
          <w:divBdr>
            <w:top w:val="none" w:sz="0" w:space="0" w:color="auto"/>
            <w:left w:val="none" w:sz="0" w:space="0" w:color="auto"/>
            <w:bottom w:val="none" w:sz="0" w:space="0" w:color="auto"/>
            <w:right w:val="none" w:sz="0" w:space="0" w:color="auto"/>
          </w:divBdr>
        </w:div>
        <w:div w:id="1438912927">
          <w:marLeft w:val="0"/>
          <w:marRight w:val="0"/>
          <w:marTop w:val="240"/>
          <w:marBottom w:val="240"/>
          <w:divBdr>
            <w:top w:val="none" w:sz="0" w:space="0" w:color="auto"/>
            <w:left w:val="none" w:sz="0" w:space="0" w:color="auto"/>
            <w:bottom w:val="none" w:sz="0" w:space="0" w:color="auto"/>
            <w:right w:val="none" w:sz="0" w:space="0" w:color="auto"/>
          </w:divBdr>
        </w:div>
        <w:div w:id="109470418">
          <w:marLeft w:val="0"/>
          <w:marRight w:val="0"/>
          <w:marTop w:val="0"/>
          <w:marBottom w:val="0"/>
          <w:divBdr>
            <w:top w:val="none" w:sz="0" w:space="0" w:color="auto"/>
            <w:left w:val="none" w:sz="0" w:space="0" w:color="auto"/>
            <w:bottom w:val="none" w:sz="0" w:space="0" w:color="auto"/>
            <w:right w:val="none" w:sz="0" w:space="0" w:color="auto"/>
          </w:divBdr>
        </w:div>
        <w:div w:id="1200361318">
          <w:marLeft w:val="0"/>
          <w:marRight w:val="0"/>
          <w:marTop w:val="0"/>
          <w:marBottom w:val="0"/>
          <w:divBdr>
            <w:top w:val="none" w:sz="0" w:space="0" w:color="auto"/>
            <w:left w:val="none" w:sz="0" w:space="0" w:color="auto"/>
            <w:bottom w:val="none" w:sz="0" w:space="0" w:color="auto"/>
            <w:right w:val="none" w:sz="0" w:space="0" w:color="auto"/>
          </w:divBdr>
        </w:div>
        <w:div w:id="942499944">
          <w:marLeft w:val="0"/>
          <w:marRight w:val="0"/>
          <w:marTop w:val="0"/>
          <w:marBottom w:val="0"/>
          <w:divBdr>
            <w:top w:val="none" w:sz="0" w:space="0" w:color="auto"/>
            <w:left w:val="none" w:sz="0" w:space="0" w:color="auto"/>
            <w:bottom w:val="none" w:sz="0" w:space="0" w:color="auto"/>
            <w:right w:val="none" w:sz="0" w:space="0" w:color="auto"/>
          </w:divBdr>
        </w:div>
        <w:div w:id="326321529">
          <w:marLeft w:val="0"/>
          <w:marRight w:val="0"/>
          <w:marTop w:val="0"/>
          <w:marBottom w:val="0"/>
          <w:divBdr>
            <w:top w:val="none" w:sz="0" w:space="0" w:color="auto"/>
            <w:left w:val="none" w:sz="0" w:space="0" w:color="auto"/>
            <w:bottom w:val="none" w:sz="0" w:space="0" w:color="auto"/>
            <w:right w:val="none" w:sz="0" w:space="0" w:color="auto"/>
          </w:divBdr>
        </w:div>
      </w:divsChild>
    </w:div>
    <w:div w:id="2096245869">
      <w:bodyDiv w:val="1"/>
      <w:marLeft w:val="0"/>
      <w:marRight w:val="0"/>
      <w:marTop w:val="0"/>
      <w:marBottom w:val="0"/>
      <w:divBdr>
        <w:top w:val="none" w:sz="0" w:space="0" w:color="auto"/>
        <w:left w:val="none" w:sz="0" w:space="0" w:color="auto"/>
        <w:bottom w:val="none" w:sz="0" w:space="0" w:color="auto"/>
        <w:right w:val="none" w:sz="0" w:space="0" w:color="auto"/>
      </w:divBdr>
      <w:divsChild>
        <w:div w:id="1815679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Chipset security: RNG health test</Meeting_x0020_Nam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Work_Item xmlns="061b9647-4e8e-4322-8827-bc9d1fc10aaf">General cybersecurity requirements for automotive chipset</Work_Item>
    <Meeting_x0020_Date xmlns="061b9647-4e8e-4322-8827-bc9d1fc10aaf">2025-10-22T07:00:00+00:00</Meeting_x0020_Date>
    <Organization_x0020_Name xmlns="061b9647-4e8e-4322-8827-bc9d1fc10aaf">NTCAS</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 xsi:nil="true"/>
    <Approved_Contribution xmlns="061b9647-4e8e-4322-8827-bc9d1fc10aaf">Agree</Approved_Contribution>
    <Name_x0020_of_x0020_work_x0020_item_x002f_document_x002f_specification_x0020_to_x0020_which_x0020_the_x0020_contribution_x0020_is_x0020_associated xmlns="061b9647-4e8e-4322-8827-bc9d1fc10aaf" xsi:nil="true"/>
    <Name_x0020_of_x0020_Workgroup xmlns="061b9647-4e8e-4322-8827-bc9d1fc10aaf">Security WG of TC114/SC34</Name_x0020_of_x0020_Workgroup>
  </documentManagement>
</p:properties>
</file>

<file path=customXml/itemProps1.xml><?xml version="1.0" encoding="utf-8"?>
<ds:datastoreItem xmlns:ds="http://schemas.openxmlformats.org/officeDocument/2006/customXml" ds:itemID="{008F9FB6-5C77-428C-908F-0E80C4EDD1FB}"/>
</file>

<file path=customXml/itemProps2.xml><?xml version="1.0" encoding="utf-8"?>
<ds:datastoreItem xmlns:ds="http://schemas.openxmlformats.org/officeDocument/2006/customXml" ds:itemID="{2BD6E00D-1B47-404D-A8F9-E8576CFBD6DD}"/>
</file>

<file path=customXml/itemProps3.xml><?xml version="1.0" encoding="utf-8"?>
<ds:datastoreItem xmlns:ds="http://schemas.openxmlformats.org/officeDocument/2006/customXml" ds:itemID="{90545F5E-B45F-4A22-A292-28401523B992}"/>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148</TotalTime>
  <Pages>3</Pages>
  <Words>662</Words>
  <Characters>1061</Characters>
  <Application>Microsoft Office Word</Application>
  <DocSecurity>0</DocSecurity>
  <Lines>34</Lines>
  <Paragraphs>36</Paragraphs>
  <ScaleCrop>false</ScaleCrop>
  <Company>Qualcomm Incorporated</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物理随机源健康检查”相关的标准分析及标准修改建议</dc:title>
  <dc:subject/>
  <dc:creator>Jiangsheng Wang</dc:creator>
  <cp:keywords/>
  <dc:description/>
  <cp:lastModifiedBy>Jiangsheng Wang</cp:lastModifiedBy>
  <cp:revision>42</cp:revision>
  <dcterms:created xsi:type="dcterms:W3CDTF">2025-10-16T08:09:00Z</dcterms:created>
  <dcterms:modified xsi:type="dcterms:W3CDTF">2025-10-17T01:15:00Z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0x01010095B2E4407BF2CA45B5CA71B98E70B49E</vt:lpwstr>
  </property>
</Properties>
</file>